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Plānā iekļauto aktivitāšu īstenošanu 2024. un 2025. gadā atbildīgajām un līdzatbildīgajām institūcijām nodrošināt piešķirto valsts budžeta līdzekļu ietvaros, savukārt jautājumu par papildu nepieciešamo finansējumu 2026. gadam un turpmākajiem gadiem skatīt likumprojekta “Par valsts budžetu 2026. gadam un budžeta ietvaru 2026., 2027. un 2028. gadam” sagatavošanas un izskatīšanas procesā, pārskatot visu ministriju un citu centrālo valsts iestāžu esošo budžeta programmu/apakšprogrammu izdevumus un pārvirzot resursus aktuālākiem prioritārajiem pasākumiem vai rodot papildu finansējuma avotus. Ja valsts budžeta likumprojekta sagatavošanas procesā papildu valsts budžeta finansējums Plānā iekļauto aktivitāšu īstenošanai netiek piešķirts vai tiek piešķirts daļēji, tad atbildīgās un līdzatbildīgās institūcijas nodrošina, ka tiek īstenotas tās Plānā paredzētās aktivitātes, kuras var nodrošināt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Cilvēkkapitāla attīstības stratēģijas pasākumu plāna tabulās nav iekļauti pasākumi, kuru īstenošanai būtu nepieciešams papildu valsts budžeta finansējums, attiecīgi nav saprotams par kādu papildu nepieciešamo finansējumu ir plānots jautājumu skatīt likumprojekta “Par valsts budžetu 2026.gadam un budžeta ietvaru 2026., un 2027. un 2028.gadam” sagatavošanas un izskatīšanas procesā. Gadījumā, ja plāna tabulās iekļauto pasākumu izpilde tiks nodrošināta esošo valsts budžeta līdzekļu ietvaros un Eiropas Savienības fondu projektu ietvaros, lūdzam precizēt rīkojuma projekta 6.punktu, izsakot to piedāvātajā redakcijā, ka arī attiecīgi precizēt informāciju plāna sadaļā “Ievads”.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Plānā iekļauto aktivitāšu īstenošana tiks nodrošināta atbildīgajām un līdzatbildīgajām institūcijām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jāprecizē 1.2.apakšsadaļā "Plānotās STEM izglītības un prasmju veicināšanas aktivitātes/rezultāti/ termiņi" sniegtā informācija par 1.2.3.3.aktivitātes darbības rezultāta "Normatīvā regulējuma par valsts nozīmes interešu izglītības iestādes statusu un finansēšanas kārtību izstrāde, paredzot valsts finansējumu STEM interešu izglītības programmām" finansējumu. Šobrīd tabulas ailē "Finansējums" norādīts: "631 891 EUR, 2 414 728 EUR, 3 765 445 EUR", taču nav norādīts kurā gadā/gados šis finansējums nepieciešams un vai tas ir papildus nepieciešamais finansējums, vai arī pasākums tiks nodrošināts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plāna tabulās par rīcības virzieniem nav iekļauti pasākumi, kuru īstenošanai būtu nepieciešams papildu valsts budžeta finansējums, lūdzam rindkopā zem tabulām svītrot informāciju par nepieciešamību rast papildu finansējumu likumprojekta “Par valsts budžetu 2026.gadam un budžeta ietvaru 2026., 2027. un 2028.gadam” sagatavošanas un izskatīšanas procesā papildus identificētiem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projekta "Cilvēkkapitāla attīstības stratēģija 2024.-2027. gadam" 12.lpp. sadaļā "Rīcības virzieni un pasākumi" ir ietverts pasākums - nodokļu atvieglojumi apmaksātām brīvdienām mācībām, kuras saistītas ar konkrētā darba veikšanu. Atbildība: LBAS.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minētais pasākums nav saprotams, proti, nav saprotams minētā pasākuma mērķis un būtība. Vēršam uzmanību, ka saskaņā ar Darba likuma 157. panta pirmo un otro daļu darbiniekam, kurš, nepārtraucot darbu, mācās jebkura veida izglītības iestādē, saskaņā ar darba koplīgumu vai darba līgumu piešķir mācību atvaļinājumu </w:t>
            </w:r>
            <w:r w:rsidR="00000000" w:rsidRPr="00000000" w:rsidDel="00000000">
              <w:rPr>
                <w:u w:val="single"/>
                <w:rtl w:val="0"/>
              </w:rPr>
              <w:t xml:space="preserve">ar darba algas saglabāšanu vai bez tās</w:t>
            </w:r>
            <w:r w:rsidR="00000000" w:rsidRPr="00000000" w:rsidDel="00000000">
              <w:rPr>
                <w:rtl w:val="0"/>
              </w:rPr>
              <w:t xml:space="preserve">. Ja darbiniekam noteikta akorda alga, mācību atvaļinājumu piešķir, izmaksājot vidējo izpeļņu vai neizmaksājot to. Darbiniekam valsts pārbaudījuma kārtošanai vai diplomdarba izstrādāšanai un aizstāvēšanai piešķir 20 darba dienas ilgu mācību atvaļinājumu ar darba algas saglabāšanu vai bez tās. Ja darbiniekam ir noteikta akorda alga, mācību atvaļinājumu piešķir, izmaksājot vidējo izpeļņu vai neizmaksājot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 Rīcības plāna projekta "Cilvēkkapitāla attīstības stratēģija 2024.-2027. gadam" svītrot pasākumu - nodokļu atvieglojumi apmaksātām brīvdienām mācībām, kuras saistītas ar konkrētā darba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atkārtoti izsaka iebildumu pret rīcības plāna projekta "Cilvēkkapitāla attīstības stratēģija 2024.-2027. gadam" 11.lpp. sadaļā "Rīcības virzieni un pasākumi" ietverto pasākumu - nodokļu, pabalstu un minimālās algas sistēmu salāgošana īpaši definēto mērķa grupu pārejai uz nodarbinātību, veicinot ātrāku iekļaušanos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minētā pasākuma nav skaidri saprotams, ko tieši ir paredzēts precizēt nodokļu jomā. Ņemot vērā minēto, lūdzam skaidrāk precizēt minēto pasākumu vai arī svītrot vārdu "nodokļu".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atkārtoti izsaka iebildumu pret rīcības plāna projekta "Cilvēkkapitāla attīstības stratēģija 2024.-2027. gadam" 11.lpp. sadaļā "Rīcības virzieni un pasākumi" ietverto pasākumu - sniegts finansiāls stimuls darba devējam investēt savu darbinieku mobilitātē caur darba koplīgumiem, neapliekot izdevumus par pārcelšanos ar iedzīvotāju ienākuma nodokli, precizējot IIN likuma normas par nosacījumiem attiecībā uz saimnieciskajos izdevumos iekļaujamiem darbinieku izdevumiem par starppilsētu sabiedrisko transportu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jautājumi par iedzīvotāju ienākuma nodokļa politiku (t.sk. jautājumi par iedzīvotāju ienākuma nodokļa atbrīvojumiem saistībā ar darbinieku mobilitāti u.c.) tiek skatīti Nodokļu politikas pilnveidošanas koordinēšanas grupā. Turklāt jebkuras izmaiņas nodokļu politikā ir jāskata kompleksi ar valdības noteiktajām prioritātēm un ir diskutējamas kontekstā ar turpmāko gadu budžeta iespēju un fiskālās ietekmes izvērtējumu, kā arī vērtējamas kopsakarā ar citiem nodokļu atbrīvojumiem un kopējo ekonomisko situāciju valstī. Vienlaikus, ņemot vērā Valsts kontroles revīzijas ziņojumā "Vai nodokļu atlaides un atvieglojumi sasniedz tiem noteiktos mērķus?" norādīto, uzskatām, ka, lemjot par jauna atvieglojuma ieviešanu ir būtiski precīzi definēt ne vien atvieglojuma mērķi, bet arī sasniedzamos rezultatīvos rādītājus vidējā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 rīcības plāna projekta "Cilvēkkapitāla attīstības stratēģija 2024.-2027. gadam" 11.lpp. svītrot pasākumu, kas paredz sniegt finansiālu stimulu darba devējam investēt savu darbinieku mobilitātē caur darba koplīgumiem, neapliekot izdevumus par pārcelšanos ar iedzīvotāju ienākuma nodokli, precizējot IIN likuma normas par nosacījumiem attiecībā uz saimnieciskajos izdevumos iekļaujamiem darbinieku izdevumiem par starppilsētu sabiedrisko transportu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Finanšu ministrija neiebilst, ka minētais pasākums ir norādīts rīcības plāna projekta "Cilvēkkapitāla attīstības stratēģija 2024.-2027. gadam" 25. un 26. lpp. pie Ekonomikas ministrijas identificētajiem un Nodokļu politikas pilnveidošanas koordinēšanas grupā iesniegtajiem iespējamiem priekšlikumiem izmaiņām nodokļu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atkārtoti izsaka iebildumu pret rīcības plāna projekta "Cilvēkkapitāla attīstības stratēģija 2024.-2027. gadam" 11.lpp. sadaļā "Rīcības virzieni un pasākumi" ietverto pasākumu - iespējas darba devējiem segt stipendijas, nepiemērojot iedzīvotāju ienākuma nodokli, vienlaikus nodrošinot sociālo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prakses laikā tiek veikts darbs uzņēmuma labā. Ņemot vērā, ka tad, ja darbiniekam par darbu uzņēmuma labā tiek maksāta darba alga, maksājot arī attiecīgos darbaspēka nodokļus, bet personai, kas iziet mācību praksi – no nodokļiem atbrīvota stipendija, tiek radīts jauns nodokļa atvieglojums. Vienlaikus atzīmējam, ka, atbrīvojot no iedzīvotāju ienākuma nodokļa uzņēmuma izmaksātās stipendijas, nevar izslēgt iespēju, ka uzņēmuma stipendija uzņēmumā jau strādājošam darbiniekam var kalpot kā sava veida no darbaspēka nodokļiem atbrīvots algas palielināšanas instruments. Vienlaikus atzīmējam, ka minētais pasākums ir neskaidrs, jo nav saprotams, kā ir paredzēts nodrošināt sociālo aizsardzību, jo valsts sociālās apdrošināšanas obligāto iemaksu objekts ir visi algotā darbā aprēķinātie ienākumi, no kuriem jāietur iedzīvotāju ienākuma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 rīcības plāna projekta "Cilvēkkapitāla attīstības stratēģija 2024.-2027. gadam" 11.lpp. svītrot pasākumu, kas paredz iespējas darba devējiem segt stipendijas, nepiemērojot iedzīvotāju ienākuma nodokli, vienlaikus nodrošinot sociālo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Finanšu ministrija neiebilst, ka minētais pasākums ir norādīts rīcības plāna projekta "Cilvēkkapitāla attīstības stratēģija 2024.-2027. gadam" 25. un 26. lpp. pie Ekonomikas ministrijas identificētajiem un Nodokļu politikas pilnveidošanas koordinēšanas grupā iesniegtajiem iespējamiem priekšlikumiem izmaiņām nodokļu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nodokļu maksātājiem, kas maksā uzņēmumu vieglo transportlīdzekļu nodokli, ir noteiktas labvēlīgākas izmantotās degvielas uzskaites prasības, nosakot attiecīgo nodokļu maksājumus, neatbalstām iespēju samazināt uzņēmumu vieglo transportlīdzekļu nodokli. Līdz ar to, Finanšu ministrija uztur jau iepriekš izteikto iebildumu un zem sadaļas "Virzītie priekšlikumi Nodokļu politikas pilnveidošanas koordinēšanas grupā" lūdzam svītrot frāzi: ..."pārskatot transportlīdzekļa ekspluatācijas nodokļa un uzņēmumu vieglo transportlīdzekļu nodokļa likuma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Lapsiņa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nodokļu maksātājiem, kas maksā uzņēmumu vieglo transportlīdzekļu nodokli, ir noteiktas labvēlīgākas izmantotās degvielas uzskaites prasības, nosakot attiecīgo nodokļu maksājumus, neatbalstām iespēju samazināt uzņēmumu vieglo transportlīdzekļu nodokli. Līdz ar to, Finanšu ministrija uztur jau iepriekš izteikto iebildumu un sadaļā "Darba tirgus paplašināšana" zem virsraksta “Darbaspēka mobilitāte un mājokļu pieejamība”  lūdzam svītrot frāzi ..."pārskatot transportlīdzekļa ekspluatācijas nodokļa un uzņēmumu vieglo transportlīdzekļu nodokļa likuma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Lapsiņa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3.2.sadaļā iekļautajā informācijā "Identificētiem pasākumiem nepieciešami līdzekļi, no Patvēruma, migrācijas un integrācijas fonda (PMIF), un Eiropas Sociālā fonda (ESF+)" precizēt vārdus "nepieciešami līdzekļi", lai nodrošinātu viennozīmīgu izpratni, ka nevar tikt prasīti papildus līdzekļi no ES fondiem. Vēršam uzmanību, ka Eiropas Savienības kohēzijas programmā 2021.-2027.gadam ir iezīmēts finansējums konkrētiem pasākumiem un nav pieejami brīvi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plāna projektā visām stratēģijas aktivitātēm/darbībām zemsvītras atsaucē norādīt konkrētu finansējuma avotu, kuru īstenošanas ir plānots finansējums Eiropas Savienības fondu projektu ietvaros un/vai Atveseļošanas un noturības mehānisma investīciju ietvaros (lūdzu skatīt arī izziņas 158.komentāru). Vienlaikus lūdzam arī ievada daļā un citur plāna pamattekstā atsaukties uz Atveseļošanas un noturības mehānisma (turpmāk - ANM) investīcijām, ņemot vērā, ka termins "ES struktūrfondi" neietver ANM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plāna tabulās par rīcības virzieniem pie vairākiem pasākumiem (piemēram, “2.2.2.1. Darba vietā apgūstamo iemaņu programmu paplašināšana, sniedzot atbalstu mērķa grupai un darba devējam”, “4.2.2.1. Uz rezultātiem balstīta instrumenta ieviešana darba ņēmēju kvalifikācijas celšanai un pārkvalifikācijai”  u.c.) ir norādītas “-” par sasniedzamo rezultātu, termiņu un finansējumu. Lūdzam izvērtēt un veikt precizējumus, svītrojot “-” un attiecīgi norādot pasākuma ietvaros sasniedzamo rezultātu, termiņu un informāciju par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stratēģiju, piemēram, stratēģijas ievadu, ar koncentrētu informāciju par stratēģijā paredzēto pasākumu ietekmi uz Padomes 2023.gada 16.novembra īstenošanas lēmuma Nr. 2023/0414, ar ko groza Īstenošanas lēmumu (ES) (ST 10157/21 INIT; ST 10157/21 ADD 1) (2021. gada 13. jūlijs) par Latvijas atveseļošanas un noturības plāna novērtējuma apstiprināšanu, pielikumā noteiktā atskaites punkta Nr.57 “Stimuli un pienākumi uzņēmumiem izglītot un apmācīt savus darbiniekus un vairāk iespēju un tiesību darbiniekiem piedalīties mācībās”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Vienotajā tiesību aktu projektu izstrādes un saskaņošanas portālā (TAP portāls) saskaņošanā ir nodots Izglītības un zinātnes ministrijas rīkojuma projekts "Par Valsts izglītības satura centra, Valsts izglītības attīstības aģentūras, Jaunatnes starptautisko programmu aģentūras un Latviešu valodas aģentūras reorganizāciju" (24-TA-1725).</w:t>
            </w:r>
            <w:r w:rsidR="00000000" w:rsidRPr="00000000" w:rsidDel="00000000">
              <w:rPr>
                <w:vertAlign w:val="superscript"/>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w:t>
            </w:r>
            <w:r w:rsidR="00000000" w:rsidRPr="00000000" w:rsidDel="00000000">
              <w:rPr>
                <w:rtl w:val="0"/>
              </w:rPr>
              <w:t xml:space="preserve">https://tapportals.mk.gov.lv/legal_acts/e08b2f36-2955-4d95-8674-19d02cd87650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15.07.2024. 17.47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15.07.2024. 17.47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