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 un 34. lappusē atspoguļota situācija attiecībā uz kapitālsabiedrībām, kurām noteikts kapitāla daļu atsavināšanas aizliegums. Ierosinām ziņojuma tekstā skaidri pateikt, ka šīm kapitālsabiedrībām ir noteikts kapitāla daļu astavināšanas aizliegums. Šobrīd ziņojumā ietvert;a informācija tomēr paver iespēju šo uzstādījumu interpretēt.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Strūve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10.11.2025. 22.32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10.11.2025. 22.32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