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25-TA-2406: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Elektronisko sakaru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rtl w:val="0"/>
              </w:rPr>
              <w:t xml:space="preserve">"</w:t>
            </w:r>
            <w:r w:rsidR="00000000" w:rsidRPr="00000000" w:rsidDel="00000000">
              <w:rPr>
                <w:b w:val="1"/>
                <w:rtl w:val="0"/>
              </w:rPr>
              <w:t xml:space="preserve">XVI</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Izraudzīto komersantu un pilnvaroto pārstāvju iecelšana elektronisko pierādījumu vākšanai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112.</w:t>
            </w:r>
            <w:r w:rsidR="00000000" w:rsidRPr="00000000" w:rsidDel="00000000">
              <w:rPr>
                <w:b w:val="1"/>
                <w:vertAlign w:val="superscript"/>
                <w:rtl w:val="0"/>
              </w:rPr>
              <w:t xml:space="preserve">1</w:t>
            </w:r>
            <w:r w:rsidR="00000000" w:rsidRPr="00000000" w:rsidDel="00000000">
              <w:rPr>
                <w:b w:val="1"/>
                <w:rtl w:val="0"/>
              </w:rPr>
              <w:t xml:space="preserve"> pants. Pienākums izraudzīties komersantu vai </w:t>
            </w:r>
            <w:r w:rsidR="00000000" w:rsidRPr="00000000" w:rsidDel="00000000">
              <w:rPr>
                <w:b w:val="1"/>
                <w:rtl w:val="0"/>
              </w:rPr>
              <w:t xml:space="preserve">iecelt pilnvaroto</w:t>
            </w:r>
            <w:r w:rsidR="00000000" w:rsidRPr="00000000" w:rsidDel="00000000">
              <w:rPr>
                <w:b w:val="1"/>
                <w:rtl w:val="0"/>
              </w:rPr>
              <w:t xml:space="preserve">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Elektronisko sakaru pakalpojumu sniedzējs, domēna vārdu reģistrācijas pakalpojumu sniedzējs, interneta protokola adrešu numerācijas piešķiršanas pakalpojumu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izraugās esošu komersantu, ja pakalpojumu sniedzējs ir reģistrēts Eiropas Savienības dalībvalstī ar juridiskas personas statusu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ieceļ vismaz vienu pilnvaroto pārstāvi, ja pakalpojumu sniedzējs nav reģistrēts Eiropas Savienības dalībvalstī ar juridiskas personas statusu vai ir reģistrēts dalībvalstī, kura nepiedalās </w:t>
            </w:r>
            <w:r w:rsidR="00000000" w:rsidRPr="00000000" w:rsidDel="00000000">
              <w:rPr>
                <w:rtl w:val="0"/>
              </w:rPr>
              <w:t xml:space="preserve">Regulas (ES) 2023/1543</w:t>
            </w:r>
            <w:r w:rsidR="00000000" w:rsidRPr="00000000" w:rsidDel="00000000">
              <w:rPr>
                <w:rtl w:val="0"/>
              </w:rPr>
              <w:t xml:space="preserve">, </w:t>
            </w:r>
            <w:r w:rsidR="00000000" w:rsidRPr="00000000" w:rsidDel="00000000">
              <w:rPr>
                <w:rtl w:val="0"/>
              </w:rPr>
              <w:t xml:space="preserve">Direktīvas 2014/41/ES</w:t>
            </w:r>
            <w:r w:rsidR="00000000" w:rsidRPr="00000000" w:rsidDel="00000000">
              <w:rPr>
                <w:rtl w:val="0"/>
              </w:rPr>
              <w:t xml:space="preserve"> un </w:t>
            </w:r>
            <w:r w:rsidR="00000000" w:rsidRPr="00000000" w:rsidDel="00000000">
              <w:rPr>
                <w:rtl w:val="0"/>
              </w:rPr>
              <w:t xml:space="preserve">Konvencijas par palīdzību krimināllietās</w:t>
            </w:r>
            <w:r w:rsidR="00000000" w:rsidRPr="00000000" w:rsidDel="00000000">
              <w:rPr>
                <w:rtl w:val="0"/>
              </w:rPr>
              <w:t xml:space="preserve"> īstenošanā. Pilnvarotais pārstāvis ir reģistrēts vai tā faktiskā (deklarētā) dzīvesvieta ir vienā no Eiropas Savienības dalībvalstīm, kurā tiek sniegts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minētais pakalpojumu sniedzējs piešķir izraudzītajam komersantam vai pilnvarotajam pārstāvim nepieciešamās pilnvaras un līdzekļus, lai tas varētu saņemt, ievērot un izpildīt ārvalsts tiesību aizsardzības iestāžu Eiropas e-pierādījumu sniegšanas rīkojumus un Eiropas e-pierādījumu saglabāšanas rīkojumus saskaņā ar </w:t>
            </w:r>
            <w:r w:rsidR="00000000" w:rsidRPr="00000000" w:rsidDel="00000000">
              <w:rPr>
                <w:rtl w:val="0"/>
              </w:rPr>
              <w:t xml:space="preserve">Regulu (ES) 2023/1543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minētais pienākums izraudzīties komersantu vai iecelt pilnvaroto pārstāvi nav attiecināms, ja šā panta pirmajā daļā minētais pakalpojumu sniedzējs ir reģistrēts vienā Eiropas Savienības dalībvalstī un sniedz pakalpojumus tikai šīs Eiropas Savienības dalībvalsts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112.</w:t>
            </w:r>
            <w:r w:rsidR="00000000" w:rsidRPr="00000000" w:rsidDel="00000000">
              <w:rPr>
                <w:b w:val="1"/>
                <w:vertAlign w:val="superscript"/>
                <w:rtl w:val="0"/>
              </w:rPr>
              <w:t xml:space="preserve">2</w:t>
            </w:r>
            <w:r w:rsidR="00000000" w:rsidRPr="00000000" w:rsidDel="00000000">
              <w:rPr>
                <w:b w:val="1"/>
                <w:rtl w:val="0"/>
              </w:rPr>
              <w:t xml:space="preserve"> pants. Pienākums sniegt rakstisku paziņojumu Regulatoram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Elektronisko sakaru pakalpojumu sniedzējs, domēna vārdu reģistrācijas pakalpojumu sniedzējs, interneta protokola adrešu numerācijas piešķiršanas pakalpojumu sniedzējs, kas atbilstoši šā likuma 112.</w:t>
            </w:r>
            <w:r w:rsidR="00000000" w:rsidRPr="00000000" w:rsidDel="00000000">
              <w:rPr>
                <w:vertAlign w:val="superscript"/>
                <w:rtl w:val="0"/>
              </w:rPr>
              <w:t xml:space="preserve">1</w:t>
            </w:r>
            <w:r w:rsidR="00000000" w:rsidRPr="00000000" w:rsidDel="00000000">
              <w:rPr>
                <w:rtl w:val="0"/>
              </w:rPr>
              <w:t xml:space="preserve"> panta pirmajai daļai izraugās komersantu vai ieceļ pilnvaroto pārstāvi Latvijas Republikā, ne vēlāk kā piecu darba dienu laikā pēc komersanta izraudzīšanās vai pārstāvja iecelšanas sniedz Regulatoram rakstisku paziņojumu, kurā ietver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izraudzītā komersanta vai pilnvarotā pārstāvja kontaktinformāciju (tai skaitā tālruņa numuru, elektroniskā pasta adresi un citu kontaktinformāciju) un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oficiālo valodu vai valodas, kurās var vērsties pie izraudzītā komersanta vai pilnvarotā pārstāvja;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apliecinājumu, ka izraudzītais komersants vai pilnvarotais pārstāvis ir saņēmis no pakalpojumu sniedzēja vajadzīgās pilnvaras un resursus, lai izpildītu lēmumus un rīkojumus, kurus izdevušas Eiropas Savienības dalībvalstu kompetentās iestādes ar mērķi vākt pierādījumus kriminālprocesā saskaņā ar </w:t>
            </w:r>
            <w:r w:rsidR="00000000" w:rsidRPr="00000000" w:rsidDel="00000000">
              <w:rPr>
                <w:rtl w:val="0"/>
              </w:rPr>
              <w:t xml:space="preserve">Regulu (ES) 2023/1543</w:t>
            </w:r>
            <w:r w:rsidR="00000000" w:rsidRPr="00000000" w:rsidDel="00000000">
              <w:rPr>
                <w:rtl w:val="0"/>
              </w:rPr>
              <w:t xml:space="preserve">, </w:t>
            </w:r>
            <w:r w:rsidR="00000000" w:rsidRPr="00000000" w:rsidDel="00000000">
              <w:rPr>
                <w:rtl w:val="0"/>
              </w:rPr>
              <w:t xml:space="preserve">Direktīvu 2014/41/ES</w:t>
            </w:r>
            <w:r w:rsidR="00000000" w:rsidRPr="00000000" w:rsidDel="00000000">
              <w:rPr>
                <w:rtl w:val="0"/>
              </w:rPr>
              <w:t xml:space="preserve"> un </w:t>
            </w:r>
            <w:r w:rsidR="00000000" w:rsidRPr="00000000" w:rsidDel="00000000">
              <w:rPr>
                <w:rtl w:val="0"/>
              </w:rPr>
              <w:t xml:space="preserve">Konvenciju par palīdzību krimināllietās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izraudzītā komersanta vai pilnvarotā pārstāvja teritoriālo tvērumu un Eiropas Savienības oficiālo valodu vai valodas, kurās var vērsties pie katra izraudzītā komersanta vai pilnvarotā pārstāvja, ja ir izraudzīti vai iecelti vairāki;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minētais pakalpojumu sniedzējs piecu darba dienu laikā informē Regulatoru par izmaiņām šā panta pirmajā daļā minētajā informācijā.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šā panta pirmajā daļā minēto informāciju dara publiski pieejamu tam īpaši paredzētā Eiropas Tiesiskās sadarbības krimināllietās tīkla tīmekļa 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daļā minēto pakalpojumu sniedzēju un izraudzīto komersantu vai pilnvaroto pārstāvi var saukt pie solidāras atbildības, ja kāds no tiem nepilda lēmumus un rīkojumus, kurus izdevušas Eiropas Savienības dalībvalstu kompetentās iestādes ar mērķi vākt pierādījumus kriminālprocesā saskaņā ar </w:t>
            </w:r>
            <w:r w:rsidR="00000000" w:rsidRPr="00000000" w:rsidDel="00000000">
              <w:rPr>
                <w:rtl w:val="0"/>
              </w:rPr>
              <w:t xml:space="preserve">Regulu (ES) 2023/1543</w:t>
            </w:r>
            <w:r w:rsidR="00000000" w:rsidRPr="00000000" w:rsidDel="00000000">
              <w:rPr>
                <w:rtl w:val="0"/>
              </w:rPr>
              <w:t xml:space="preserve">, </w:t>
            </w:r>
            <w:r w:rsidR="00000000" w:rsidRPr="00000000" w:rsidDel="00000000">
              <w:rPr>
                <w:rtl w:val="0"/>
              </w:rPr>
              <w:t xml:space="preserve">Direktīvu 2014/41/ES</w:t>
            </w:r>
            <w:r w:rsidR="00000000" w:rsidRPr="00000000" w:rsidDel="00000000">
              <w:rPr>
                <w:rtl w:val="0"/>
              </w:rPr>
              <w:t xml:space="preserve"> un </w:t>
            </w:r>
            <w:r w:rsidR="00000000" w:rsidRPr="00000000" w:rsidDel="00000000">
              <w:rPr>
                <w:rtl w:val="0"/>
              </w:rPr>
              <w:t xml:space="preserve">Konvenciju par palīdzību krimināllietās</w:t>
            </w:r>
            <w:r w:rsidR="00000000" w:rsidRPr="00000000" w:rsidDel="00000000">
              <w:rPr>
                <w:rtl w:val="0"/>
              </w:rPr>
              <w:t xml:space="preserve">. Solidāro atbildību nepiemēro par tādām darbībām vai bezdarbību, kas ir noziedzīgs nodarījums.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112.</w:t>
            </w:r>
            <w:r w:rsidR="00000000" w:rsidRPr="00000000" w:rsidDel="00000000">
              <w:rPr>
                <w:b w:val="1"/>
                <w:vertAlign w:val="superscript"/>
                <w:rtl w:val="0"/>
              </w:rPr>
              <w:t xml:space="preserve">3</w:t>
            </w:r>
            <w:r w:rsidR="00000000" w:rsidRPr="00000000" w:rsidDel="00000000">
              <w:rPr>
                <w:b w:val="1"/>
                <w:rtl w:val="0"/>
              </w:rPr>
              <w:t xml:space="preserve"> pants. Regulatora tiesības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Regulators veic komersanta izraudzīšanās vai pilnvarotā pārstāvja iecelšanas pienākuma izpildes uzraudzību atbilstoši noteiktajām uzraudzības prioritātēm. Uzraudzību veic pēc savas iniciatīvas vai pamatojoties uz citas iestādes sniegtu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Regulators, īstenojot šā panta pirmajā daļā minēto uzraudzību, ir tiesīgs pieprasīt no šā likuma 112.</w:t>
            </w:r>
            <w:r w:rsidR="00000000" w:rsidRPr="00000000" w:rsidDel="00000000">
              <w:rPr>
                <w:vertAlign w:val="superscript"/>
                <w:rtl w:val="0"/>
              </w:rPr>
              <w:t xml:space="preserve">1</w:t>
            </w:r>
            <w:r w:rsidR="00000000" w:rsidRPr="00000000" w:rsidDel="00000000">
              <w:rPr>
                <w:rtl w:val="0"/>
              </w:rPr>
              <w:t xml:space="preserve"> panta pirmajā daļā minētā pakalpojumu sniedzēja un citām fiziskajām un juridiskajām personām visus lietas būtības noskaidrošanai nepieciešamos dokumentus, informāciju un citus pierādījumus neatkarīgi no veida vai formāta un neatkarīgi no datu nesēja vai vietas, kurā tie tiek glabāti, kā arī mutvārdu paskaidrojumus.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izvērtējot komersanta izraudzīšanās vai pilnvarotā pārstāvja iecelšanas pienākuma pārkāpumu, ir tiesīgs ierosināt, lai šā likuma 112.</w:t>
            </w:r>
            <w:r w:rsidR="00000000" w:rsidRPr="00000000" w:rsidDel="00000000">
              <w:rPr>
                <w:vertAlign w:val="superscript"/>
                <w:rtl w:val="0"/>
              </w:rPr>
              <w:t xml:space="preserve">1</w:t>
            </w:r>
            <w:r w:rsidR="00000000" w:rsidRPr="00000000" w:rsidDel="00000000">
              <w:rPr>
                <w:rtl w:val="0"/>
              </w:rPr>
              <w:t xml:space="preserve"> panta pirmajā daļā minētais pakalpojumu sniedzējs Regulatora noteiktajā termiņā nodrošina komersanta izraudzīšanās vai pilnvarotā pārstāvja iecelšanas pienākuma un rakstiska paziņojuma sniegšanas pienākuma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112.</w:t>
            </w:r>
            <w:r w:rsidR="00000000" w:rsidRPr="00000000" w:rsidDel="00000000">
              <w:rPr>
                <w:vertAlign w:val="superscript"/>
                <w:rtl w:val="0"/>
              </w:rPr>
              <w:t xml:space="preserve">1</w:t>
            </w:r>
            <w:r w:rsidR="00000000" w:rsidRPr="00000000" w:rsidDel="00000000">
              <w:rPr>
                <w:rtl w:val="0"/>
              </w:rPr>
              <w:t xml:space="preserve"> panta pirmajā daļā minētais pakalpojumu sniedzējs nekavējoties, bet ne vēlāk kā piecu darba dienu laikā pēc šā panta trešajā daļā minētajā ierosinājumā noteiktā termiņa beigām informē Regulatoru par ierosinājuma izpildi, pievienojot pamatojošus pierādījumus. Ja noteiktajā termiņā šā likuma 112.</w:t>
            </w:r>
            <w:r w:rsidR="00000000" w:rsidRPr="00000000" w:rsidDel="00000000">
              <w:rPr>
                <w:vertAlign w:val="superscript"/>
                <w:rtl w:val="0"/>
              </w:rPr>
              <w:t xml:space="preserve">1</w:t>
            </w:r>
            <w:r w:rsidR="00000000" w:rsidRPr="00000000" w:rsidDel="00000000">
              <w:rPr>
                <w:rtl w:val="0"/>
              </w:rPr>
              <w:t xml:space="preserve"> panta pirmajā daļā minētais pakalpojumu sniedzējs nav veicis ierosinājuma izpildi, Regulators ir tiesīgs pieņemt vienu vai vairākus šā panta piektajā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konstatēta komersanta izraudzīšanās vai pilnvarotā pārstāvja iecelšanas pienākuma neizpilde, Regulators ir tiesīgs pieņemt vienu vai vairākus lēmumus, ar kuriem nosaka šā likuma 112.</w:t>
            </w:r>
            <w:r w:rsidR="00000000" w:rsidRPr="00000000" w:rsidDel="00000000">
              <w:rPr>
                <w:vertAlign w:val="superscript"/>
                <w:rtl w:val="0"/>
              </w:rPr>
              <w:t xml:space="preserve">1</w:t>
            </w:r>
            <w:r w:rsidR="00000000" w:rsidRPr="00000000" w:rsidDel="00000000">
              <w:rPr>
                <w:rtl w:val="0"/>
              </w:rPr>
              <w:t xml:space="preserve"> panta pirmajā daļā minētajam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112.</w:t>
            </w:r>
            <w:r w:rsidR="00000000" w:rsidRPr="00000000" w:rsidDel="00000000">
              <w:rPr>
                <w:vertAlign w:val="superscript"/>
                <w:rtl w:val="0"/>
              </w:rPr>
              <w:t xml:space="preserve">1</w:t>
            </w:r>
            <w:r w:rsidR="00000000" w:rsidRPr="00000000" w:rsidDel="00000000">
              <w:rPr>
                <w:rtl w:val="0"/>
              </w:rPr>
              <w:t xml:space="preserve"> panta pirmajā daļā minētais pakalpojumu sniedzējs šā panta piektajā daļā minēto lēmumu var pārsūdzēt Administratīvajā rajona tiesā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iebilstam pret Sabiedrisko pakalpojumu regulēšanas komisijas (turpmāk – Regulators) noteikšanu par centrālo iestādi Direktīvas (ES) 2023/1544 prasību īstenošanā un ar to saistīto pienākumu un tiesību piešķiršanu, ņemot vērā Regulatora 2026. gada 29. janvāra atzinumā norādīto un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neraugoties uz Regulatora vispārējo uzraudzības funkciju elektronisko sakaru nozarē, Regulatora funkciju paplašināšana, nosakot to par centrālo iestādi saskaņā ar Direktīvu (ES) 2023/1544, nav savienojama ar Regulatora funkcijām un kompetenci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darbības mērķis ir nodrošināt kvalitatīvus sabiedriskos pakalpojumus par ekonomiski pamatotiem tarifiem, aizstāvot lietotāju intereses un veicinot pakalpojumu sniedzēju attīstību. Tādējādi Regulatora kompetence ir saistīta ar šo mērķu sasniegšanu. Savukārt Direktīvas (ES) 2023/1544 mērķis – nodrošināt elektronisko pierādījumu, kuriem ir nozīme kriminālprocesā, iegūšanu – nav saistīts ne ar vienu no iepriekš minētajiem Regulatora darbības mērķiem, bet gan ar tieslietu sistēmas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Direktīvas (ES) 2023/1544 prasības attiecas arī uz elektronisko sakaru pakalpojumu sniedzējiem, kas ir sabiedrisko pakalpojumu sniedzēji, tomēr norādāms, ka Direktīvā (ES) 2023/1544 minētās centrālās iestādes funkcijas nav saistītas ar sabiedrisko pakalpojumu regulēšanu, bet gan tikai ar informācijas (elektronisko pierādījumu) iegūšanu kriminālprocesā. Līdz ar to Direktīvā (ES) 2023/1544 paredzētā funkcija pēc savas būtības attiecas uz tieslietu, nevis sabiedrisko pakalpojumu regulēšanas jomu un Regulatora noteikšana par centrālo iestādi, paplašinot Regulatora funkciju klāstu, kas nav saistīts ar sabiedrisko pakalpojumu regulēšanu, ir pretrunā Regulatora funkciju būtībai.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Lamba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anotācijā aprakstīts Direktīvas (ES) 2023/1544 tvērums un Regulatora funkcijas, tajā nav izvērtēts, kāpēc Regulators būtu vispiemērotākā iestāde centrālās iestādes funkciju veikšanai. Tāpat nav veikts salīdzinošais izvērtējums par citām iespējami piemērotākām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Direktīvas (ES) 2023/1544 prasības ir vērstas uz dalībvalstu kompetento iestāžu spēju nodrošināt efektīvu starptautisko sadarbību un pierādījumu iegūšanu kriminālprocesā, joprojām uzskatām un aicinām izvērtēt iespēju šo uzdevumu izpildi uzticēt Tieslietu ministrijai vai tiesībaizsardzības iestādei, vai arī citai iestādei, kuras kompetencē ir starptautiskā sadarbība krimināllietās.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Lamba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likumā “Par sabiedrisko pakalpojumu regulatoriem” noteiktajam ir jānodrošina Regulatora institucionālā, funkcionālā, finanšu un lēmumu pieņemšanas neatkarība, kā arī Regulatoram ir jādarbojas patstāvīgi savas kompetences ietvaros sabiedrisko pakalpojumu regulēšanas jomā. Viens no veidiem, kā tiek nodrošināts minētais, ir Regulatora darbības finansēšanas modelis. Un proti, Regulatora darbību finansē no ieņēmumiem, kas gūti no regulējamo nozaru sabiedrisko pakalpojumu sniedzēju samaksātās valsts nodevas par sabiedrisko pakalpojumu regulēšanu. Tādējādi anotācijā piedāvātais risinājums par Regulatora kā centrālās iestādes Direktīvas (ES) 2023/1544 prasību īstenošanai darbības finansēšanai no valsts budžeta neatbilst likumā “Par sabiedrisko pakalpojumu regulatoriem” nostiprinātajai Regulatora institucionālai, funkcionālai un finansiālai neatkarībai.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Lamba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25-TA-2406</w:t>
    </w:r>
    <w:r>
      <w:br/>
    </w:r>
    <w:r w:rsidR="00000000" w:rsidRPr="00000000" w:rsidDel="00000000">
      <w:rPr>
        <w:rtl w:val="0"/>
      </w:rPr>
      <w:t xml:space="preserve">Izdrukāts 12.03.2026.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25-TA-2406</w:t>
    </w:r>
    <w:r>
      <w:br/>
    </w:r>
    <w:r w:rsidR="00000000" w:rsidRPr="00000000" w:rsidDel="00000000">
      <w:rPr>
        <w:rtl w:val="0"/>
      </w:rPr>
      <w:t xml:space="preserve">Izdrukāts 12.03.2026.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Atzinumi_25-TA-2406.docx</dc:title>
</cp:coreProperties>
</file>

<file path=docProps/custom.xml><?xml version="1.0" encoding="utf-8"?>
<Properties xmlns="http://schemas.openxmlformats.org/officeDocument/2006/custom-properties" xmlns:vt="http://schemas.openxmlformats.org/officeDocument/2006/docPropsVTypes"/>
</file>