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Pieprasot apliecību pilngadību sasniegušajam bērnam, papildus šo noteikumu 13.1. un 13.2. apakšpunktā minētajiem dokumentiem bāriņtiesa apliecina, ka konkrētais bērns mācās.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punkta redakciju, lai viennozīmīgi būtu saprotams, ka bāriņtiesa, izmantojot informācijas sistēmās pieejamo informāciju, pārliecinās, ka pilngadību sasniegušais bērns mācās. Šobrīd, lasot punkta redakciju, var saprast, ka bāriņtiesai jāsniedz rakstisks apliecinājums VBTAI par to, ka konkrētais bērns mācās.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Pieprasot apliecību pilngadību sasniegušam bērnam, bāriņtiesa iesniedz inspekcijai 13.1.un 13.2.punktā minētos dokumentus, kā arī pārliecinās, ka konkrētais bērns mācās.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plānots, ka bāriņtiesa sniedz rakstisku apliecinājumu, ka bērns mācās, lūdzam tehniski precizēt 2.pielikumu un dzēst 7.2.punktu.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20.06.2023.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20.06.2023.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