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otrās kārtas mērķa grupa ir pensijas vecuma personas.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paplašināt investīcijas mērķa grupu, tajā iekļaujot pensijas vecumu nesasniegušas personas ar funkcionāliem traucējumiem.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Investīcijas otrās kārtas īstenošanas ietvaros sasniedzami šādi mērķrādītāji: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pieejamais atbalsts vienas ēkas izveidei ir nepietiekams, lūdzam sniegt skaidrojumu par sekām, ja līdz 2023. gada 30. jūnijam netiek noslēgti līgumi ar 18 pašvaldībām un netiek akceptēti Labklājības ministrijas iesniegtie priekšlikumi Atveseļošanās un noturības mehānisma (turpmāk – ANM) plāna grozījumiem, pagarinot projektu īstenošanas termiņu (no 31.12.2024. līdz 30.06.2026.) un samazinot sasniedzamo rādītāju – attiecībā uz pašvaldībām (no 18 līdz 12) un attiecībā uz pakalpojuma vietām (no 852 līdz 600).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noteikto atbalstāmo darbību īstenošanai vienas ēkas izveidei Atveseļošanas fonda finansējums nepārsniedz 852 758</w:t>
            </w:r>
            <w:r w:rsidR="00000000" w:rsidRPr="00000000" w:rsidDel="00000000">
              <w:rPr>
                <w:i w:val="1"/>
                <w:rtl w:val="0"/>
              </w:rPr>
              <w:t xml:space="preserve"> euro</w:t>
            </w:r>
            <w:r w:rsidR="00000000" w:rsidRPr="00000000" w:rsidDel="00000000">
              <w:rPr>
                <w:rtl w:val="0"/>
              </w:rPr>
              <w:t xml:space="preserve">. Pievienotās vērtības nodokļa izmaksas un nacionālo finansējumu investīcijas otrās kārtas projekta atbalstāmo darbību īstenošanai, ja to izmaksas pārsniedz investīcijas otrās kārtas projektam pieejamo Atveseļošanas fonda finansējumu, sedz no finansējuma saņēmēja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ņemot vērā potenciālās vienas ēkas būvniecības izmaksas (1 800 EUR/m2 bez pievienotās vērtības nodokļa (turpmāk – PVN)) un plānoto atbalstu (1 305 EUR/m2 bez PVN, pieņemot, ka ēkas platība būs 653,4 m2), pastāv risks, ka pašvaldības nerealizēs investīcijas ietvaros plānotos projektus un līdz ar to sociālās atstumtības riskam pakļautajiem iedzīvotājiem, kuriem ir ierobežoti finanšu resursi, tiks samazinātas pieejas iespējas būtiski nepieciešamiem sociālajiem un nodarbinātības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Rezultatīvi vienas ēkas uzbūvei nepieciešams pašvaldības līdzfinansējums 40% apmērā, neieskaitot teritorijas labiekārtošanu, projekta pielāgošanu un aprīkojuma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iebilstam par plānoto ANM finansējumu apjomu (852 758 euro) vienai ēkai. Rosinām to palielināt atbilstoši esošajai tirgus situācijai būvniecības nozarē.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noteikto atbalstāmo darbību īstenošanai vienas ēkas izveidei Atveseļošanas fonda finansējums nepārsniedz 852 758</w:t>
            </w:r>
            <w:r w:rsidR="00000000" w:rsidRPr="00000000" w:rsidDel="00000000">
              <w:rPr>
                <w:i w:val="1"/>
                <w:rtl w:val="0"/>
              </w:rPr>
              <w:t xml:space="preserve"> euro</w:t>
            </w:r>
            <w:r w:rsidR="00000000" w:rsidRPr="00000000" w:rsidDel="00000000">
              <w:rPr>
                <w:rtl w:val="0"/>
              </w:rPr>
              <w:t xml:space="preserve">. Pievienotās vērtības nodokļa izmaksas un nacionālo finansējumu investīcijas otrās kārtas projekta atbalstāmo darbību īstenošanai, ja to izmaksas pārsniedz investīcijas otrās kārtas projektam pieejamo Atveseļošanas fonda finansējumu, sedz no finansējuma saņēmēja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 iebilst par Noteikumu projekta 12. un 40.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noteiktos rādītājus, Ventspils valstspilsētas pašvaldība rosina ļaut pašvaldībai individuāli izstrādāt būvprojektu gadījumos, kad pirmās kārtas ietvaros izveidotais tipveida būvprojekta risinājums nav pielāgojams pašvaldības vajadzībām, t. sk. pieejamā zemes gabala konfigurācijai.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 noteikt izmaksu ierobežojumu vienai jaunizveidotai senioru vietai 76 090,36 EUR (64  828 990 EUR/ 852 cilv.) aprūpes pakalpojumu saņemšanai, nevis vienas ēkas izveidei.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Maksimālais ēku skaits, ko projekta iesniedzējs var paredzēt vienā investīcijas otrās kārtas projekta iesniegumā, lai veidotu ģimeniskai videi pietuvinātu pakalpojumu un saņemtu Atveseļošanas fonda finansējumu, ir četras ēkas. Ja projekta iesniedzējs ir Rīgas valstspilsēta, tās iestādes vai kapitālsabiedrības, kas veic pašvaldības deleģēto pārvaldes uzdevumu, investīcijas otrās kārtas projekta iesniegumā paredzamais maksimālais ēku skaits ir astoņas ēkas. Projekta iesniedzējs investīcijas otrās kārtas projekta iesniegumā var paredzēt vairāk kā četras ēkas un Rīgas valstspilsēta vairāk kā astoņas ēkas, bet šo ēku izveides izmaksas sedz no finansējuma saņēmēja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 iebilst pret nevienlīdzīgas pieejas nodrošināšanu, nosakot Rīgas valstpilsētas pašvaldībai divas reizes lielāku maksimālo ēku skaitu nekā pārējām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norāda Ventspils valstspilsētas pašvaldība, Rīgas valstspilsētā ir lielākais senioru īpatsvars no pašvaldību administratīvajām teritorijām, taču Rīgā dzīvo nabadzības riskam būtiski mazāk pakļauti seniori, kam ir plašākas sociālo un nodarbinātības pakalpojumu iespējas. Piemēram, pēc Centrālās statistikas pārvaldes datiem (https://data.stat.gov.lv/pxweb/lv/OSP_PUB/START__POP__NN__NNR/NNR120/table/tableViewLayout1/) 2020. gadā ārpus Rīgas un Pierīgas reģioniem  senioru (65 gadi un vairāk) nabadzības riska indekss[1] vidēji bija aptuveni 1,5 reizes lielāks.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Nabadzības riska indekss raksturo iedzīvotāju skaitu (procentos), kas dzīvo zem nabadzības sliekšņa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Pēc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minētās investīcijas otrās kārtas projektu iesniegumu sarindošanas,  vienāda punktu skaita gadījumā priekšroka ir tam investīcijas otrās kārtas projekta iesniegumam, kas  informācijas vadības informācijas sistēmā iesniegts ātrāk.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nav objektīvs. Lūdzam, izslēgt šo kritēriju, jo tā īstenošana var būt saistīta ar to, kā konkrētajā projekta iesniegšanas dienā darbojas KPVIS sistēma un nav objektīvi vērtēt iesniegšanas laiku un datumu, ja ir noteikts konkrēts iesniegšanas termiņš un projekti izpilda šo termiņa kritēriju, proti, ir iesniegti šajā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41.14. šo noteikumu </w:t>
            </w:r>
            <w:r w:rsidR="00000000" w:rsidRPr="00000000" w:rsidDel="00000000">
              <w:rPr>
                <w:rtl w:val="0"/>
              </w:rPr>
              <w:t xml:space="preserve">41.13. </w:t>
            </w:r>
            <w:r w:rsidR="00000000" w:rsidRPr="00000000" w:rsidDel="00000000">
              <w:rPr>
                <w:rtl w:val="0"/>
              </w:rPr>
              <w:t xml:space="preserve">apakšpunktā</w:t>
            </w:r>
            <w:r w:rsidR="00000000" w:rsidRPr="00000000" w:rsidDel="00000000">
              <w:rPr>
                <w:rtl w:val="0"/>
              </w:rPr>
              <w:t xml:space="preserve"> minētajā laikposmā var nodot projekta ietvaros izveidotās ēkas bezatlīdzības lietošanā sociālo pakalpojumu sniedzējam, ar kuru pašvaldība ir noslēgusi deleģēšanas līgumu par ģimeniskai videi pietuvināta pakalpojuma sniegšanu mērķa grupas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Nevajadzētu paredzēt tikai viena veida pašvaldību līguma formu ar sociālā pakalpojuma sniedzējiem. Piemēram, Rīgas valstpilsētas pašvaldība kopš 2018.gada slēdz sadarbības līgumus ar pakalpojuma sniedzējiem, kuri nodrošina ilgstošas sociālās un sociālās rehabilitācijas institūcijas pakalpojumu pilngadīgām personām, t.sk. ģimenes videi pietuvinātu pakalpojumu. Aicinām 41.14.punktā svītrot vārdu “deleģēšanas”.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“41.14, šo noteikumu 41.12. apakšpunktā minētajā laikposmā var nodot projekta ietvaros izveidotās ēkas bezatlīdzības lietošanā sociālo pakalpojumu sniedzējam, ar kuru pašvaldība ir noslēgusi līgumu par ģimeniskai videi pietuvināta pakalpojuma sniegšanu mērķa grupas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vērtēšanas kritēriji Eiropas  Savienības Atveseļošanas un noturības mehānisma plāna investīcijas 3.1.2.3.i. “Ilgstošas sociālās aprūpes pakalpojuma noturība un nepārtrauktība: jaunu ģimeniskai videi pietuvinātu aprūpes pakalpojumu sniedzēju attīstība pensijas vecuma personām” otrās kārtas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Kvalitātes kritērija 3.2. “</w:t>
            </w:r>
            <w:r w:rsidR="00000000" w:rsidRPr="00000000" w:rsidDel="00000000">
              <w:rPr>
                <w:u w:val="single"/>
                <w:rtl w:val="0"/>
              </w:rPr>
              <w:t xml:space="preserve">Darbspējas vecumā esošo</w:t>
            </w:r>
            <w:r w:rsidR="00000000" w:rsidRPr="00000000" w:rsidDel="00000000">
              <w:rPr>
                <w:rtl w:val="0"/>
              </w:rPr>
              <w:t xml:space="preserve"> iedzīvotāju īpatsvars pašvaldības teritorijā”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Atsaucē Nr.8 pie šī kritērija ir skaidrots: “Centrālās statistikas pārvaldes dati par 2022. gadu, aprēķins, ņemot vērā iedzīvotāju kopējo skaitu sadalījumā par pašvaldībām un cilvēku </w:t>
            </w:r>
            <w:r w:rsidR="00000000" w:rsidRPr="00000000" w:rsidDel="00000000">
              <w:rPr>
                <w:u w:val="single"/>
                <w:rtl w:val="0"/>
              </w:rPr>
              <w:t xml:space="preserve">pēc darbspējas vecuma skaitu</w:t>
            </w:r>
            <w:r w:rsidR="00000000" w:rsidRPr="00000000" w:rsidDel="00000000">
              <w:rPr>
                <w:rtl w:val="0"/>
              </w:rPr>
              <w:t xml:space="preserve"> sadalījumā pa pašvaldībām”. Nav saprotams, vai tiek domāts darbspējas vecumā vai pēc darbspējas vecuma esošo iedzīvotāju īpatsvars pašvaldības iedzīvotāju skaitā?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3.7.1.p. Tiešā izpratnē šāds kritērijs  prasa  neiespējamo  - tukšu zemes gabalu pilsētas centrā, tādēļ priekšlikums uzsvērt to, ka personai ir iespēja sasniegt pakalpojumus saviem spēkiem vai ar aprūpētāja atbalstu, konkrēti nenosakot ar kādu transportu: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Projekta iesniegumā ir norādīts, ka veidojamai sociālā pakalpojuma sniegšanas vietai ir viegli pieejami vispārējie pakalpojumi, ko izmanto pārējā sabiedrība –  ārsts, fizioterapijas u.c. medicīniskās aprūpes iespējas, veikali, pastaigu vietas un publiskas telpas, piemēram, kapela vai dievnams, relaksācijas iespējas, frizieris, nodarbību un brīvā laika pavadīšanas iespējas u.c. infrastruktūra – projekta iesniegumā norādīts attālums līdz ārstniecības iestādēm, kultūras iestādēm u.c. infrastruktūrai, informācija par ceļu segumu, vides pieejamību. Personai ir jābūt iespējai tos sasniegt saviem spēkiem vai ar aprūpētāja atbalstu –  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Nr. 871 nosacījumus, projektu īstenošana turpinās līdz 2023. gada 31. decembrim, tādēļ priekšlikums 3.10.2. apakškritēriju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“3.10.2. Pašvaldība </w:t>
            </w:r>
            <w:r w:rsidR="00000000" w:rsidRPr="00000000" w:rsidDel="00000000">
              <w:rPr>
                <w:u w:val="single"/>
                <w:rtl w:val="0"/>
              </w:rPr>
              <w:t xml:space="preserve">īsteno vai</w:t>
            </w:r>
            <w:r w:rsidR="00000000" w:rsidRPr="00000000" w:rsidDel="00000000">
              <w:rPr>
                <w:rtl w:val="0"/>
              </w:rPr>
              <w:t xml:space="preserve"> ir īstenojusi Eiropas Reģionālās Attīstības fonda projektu(s) deinstitucionalizācijas atbalstam, 2014.-2020. gada plānošanas periodā attīstot sabiedrībā balstītu sociālo pakalpojumu infrastruktūru un pabeidzot projektu(s) sākotnēji plānotajā vai lielākā apjomā – 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3.8.7. apakšpunktā noteiktā prasība par sanitārā mezgla nepieciešamību katram klientam ir nesamērīga, jo realitātē ģimenes mājoklī katram ģimenes loceklim nav paredzēts un nav vajadzīgs savs sanitārais mezgls.  Aicinām pārskatīt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finansējuma saņēmēja sagatavots pārskats par izveidotajām pakalpojumu sniegšanas vietām, tostarp informācija par ēkām, to atrašanās vietu, platību kvadrātmetros (m2)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mērķa grupas personu izmitināšanai paredzēto vietu skaitu (tai skaitā, apstiprinājumu, ka šīs personas būs investīciju galasaņēmēji), aprīkojumu, pieejamajām investīcijām, kas ļaus nodrošināt pāreju no institucionālās aprūpes uz vietējās kopienas nodrošinātu aprūpi pensijas vecuma personām, un ka pabeigtie projekti atbilst minimālajām vides pieejamības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ģimeniskai videi pietuvināts aprūpes pakalpojums ir inovācija sociālo pakalpojumu klāstā, ar kura palīdzību tiks veicināta gan jau ilgstošas sociālās aprūpes pakalpojuma saņēmēju pāreja no institucionālas aprūpes uz ģimeniskai videi pietuvināta pakalpojuma saņemšanu, gan mērķa grupas personu piesaiste, kuri šobrīd ilgstošas sociālās aprūpes pakalpojumu nesaņem, priekšlikums 8.2.2.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finansējuma saņēmēja sagatavots pārskats par izveidotajām pakalpojumu sniegšanas vietām, tostarp informācija par ēkām, to atrašanās vietu, platību kvadrātmetros (m2) šo noteikumu 4. punktā minēto mērķa grupas personu izmitināšanai paredzēto vietu skaitu (tai skaitā, apstiprinājumu, ka šīs personas būs investīciju galasaņēmēji), aprīkojumu, pieejamajām investīcijām, kas ļaus nodrošināt pāreju no institucionālās aprūpes uz vietējās kopienas nodrošinātu aprūpi pensijas vecuma personām, </w:t>
            </w:r>
            <w:r w:rsidR="00000000" w:rsidRPr="00000000" w:rsidDel="00000000">
              <w:rPr>
                <w:u w:val="single"/>
                <w:rtl w:val="0"/>
              </w:rPr>
              <w:t xml:space="preserve">ja tāda nepieciešamība rastos</w:t>
            </w:r>
            <w:r w:rsidR="00000000" w:rsidRPr="00000000" w:rsidDel="00000000">
              <w:rPr>
                <w:rtl w:val="0"/>
              </w:rPr>
              <w:t xml:space="preserve">, un ka pabeigtie projekti atbilst minimālajām vides pieejamības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apakškritērijus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Darbspējas vecumā esošo iedzīvotāju skaits pašvaldības teritorijā ir 8 000 vai vairāk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Darbspējas vecumā esoši iedzīvotāju skaits pašvaldības teritorijā ir mazāks par 8 000, bet lielāks par 4 000 –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Darbspējas vecumā esošo iedzīvotāju skaits pašvaldības teritorijā ir mazāks par 4 000 –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Pašvaldības teritorijā nav ilgstošas sociālās aprūpes un sociālās rehabilitācijas pakalpojumu institūcijā sniedzēju pensijas vecuma personām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pastāv iespēja, ka kāda pašvaldība šajā apakškritērijā varētu saņemt punktus? Publiski atrodamie LM statistikas dati rāda, ka ilgstoša sociālā aprūpe un sociālā rehabilitācija institūcijā tiek nodrošināta 100% visās pašvaldībās. Iespējams, nepieciešams precizēt, ka teritorijā nav pašvaldības izveidota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3.5.1. apakškritērija nav izprotams, cik punkti tiks piešķirti, ja tiks veidotas 4 mājas vairākās sniegšanas adresēs, tādēļ priekšlikums šo apakškritēriju izteikt daudzskaitlī,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Norādītajā(s) sociālā pakalpojuma sniegšanas adresē(s) tiks veidotas mazāk kā 4 mājas, ne vairāk kā 12 klientiem katrā – 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Kvalitātes kritērijā Nr.3.7. punktu 3.7.1. un 3.7.2. apraksti ir vienādi, bet par izpildi paredzēti atšķirīgi punkti – 4 un 2. Lūdzam, precizēt minēto punktu aprakstus.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22-TA-3345</w:t>
    </w:r>
    <w:r>
      <w:br/>
    </w:r>
    <w:r w:rsidR="00000000" w:rsidRPr="00000000" w:rsidDel="00000000">
      <w:rPr>
        <w:rtl w:val="0"/>
      </w:rPr>
      <w:t xml:space="preserve">Izdrukāts 20.12.2022. 15.57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22-TA-3345</w:t>
    </w:r>
    <w:r>
      <w:br/>
    </w:r>
    <w:r w:rsidR="00000000" w:rsidRPr="00000000" w:rsidDel="00000000">
      <w:rPr>
        <w:rtl w:val="0"/>
      </w:rPr>
      <w:t xml:space="preserve">Izdrukāts 20.12.2022. 15.57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Atzinumi_22-TA-3345.docx</dc:title>
</cp:coreProperties>
</file>

<file path=docProps/custom.xml><?xml version="1.0" encoding="utf-8"?>
<Properties xmlns="http://schemas.openxmlformats.org/officeDocument/2006/custom-properties" xmlns:vt="http://schemas.openxmlformats.org/officeDocument/2006/docPropsVTypes"/>
</file>