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norādot sabiedrības grupas, kuras noteikumu projekts ietekmēs, it īpaši skaidrojot, kāda būs ietekme tam, ka tiek plānots samazināt mērķdotācijas apmēru uz vienu izglītojamo, kā arī samazināt izlietojamo summu no 15 uz 14 procentiem izglītības iestādes un viņa vietnieku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27.06.2025.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27.06.2025.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Atzinumi_25-TA-1236.docx</dc:title>
</cp:coreProperties>
</file>

<file path=docProps/custom.xml><?xml version="1.0" encoding="utf-8"?>
<Properties xmlns="http://schemas.openxmlformats.org/officeDocument/2006/custom-properties" xmlns:vt="http://schemas.openxmlformats.org/officeDocument/2006/docPropsVTypes"/>
</file>