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701 "Modernizācijas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Konkursa ietvaros projekta iesniedzējam maksimālais pieejamais Modernizācijas fonda finansējums šo noteikumu </w:t>
            </w:r>
            <w:r w:rsidR="00000000" w:rsidRPr="00000000" w:rsidDel="00000000">
              <w:rPr>
                <w:rtl w:val="0"/>
              </w:rPr>
              <w:t xml:space="preserve">17.1.</w:t>
            </w:r>
            <w:r w:rsidR="00000000" w:rsidRPr="00000000" w:rsidDel="00000000">
              <w:rPr>
                <w:rtl w:val="0"/>
              </w:rPr>
              <w:t xml:space="preserve"> apakšpunktā</w:t>
            </w:r>
            <w:r w:rsidR="00000000" w:rsidRPr="00000000" w:rsidDel="00000000">
              <w:rPr>
                <w:rtl w:val="0"/>
              </w:rPr>
              <w:t xml:space="preserve"> minētās aktivitātes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Zemkopības ministrijas iepriekš izteikto iebildumu par noteikumu 29. punktā noteikto maksimāli pieejamo Modernizācijas fonda finansējuma apmēru vienam elektromobilim attiecībā uz saimnieciskās darbības veicējiem, kas nodarbojas ar lauksaimniecības produktu primāro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izziņā sniegtā skaidrojuma izriet, ka saimnieciskās darbības veicējiem, kuri atbalstu saņem saskaņā ar Komisijas Regulas (ES) Nr. 651/2014 36.b pantu, atbalsta intensitāte atbilstoši noteikumu 30.2. apakšpunktam var sasniegt 50 % no attiecināmajām izmaksām mazajiem un sīkajiem uzņēmumiem, vienlaikus piemērojot arī noteikumu 29. punktā noteikto maksimālo finansējuma apmēru vienam elektromobilim.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pašā izziņā norādīts, ka M1 kategorijas elektromobilim papildu investīciju izmaksu starpība Latvijas tirgū var sasniegt 10 000–15 000 euro. Attiecīgi, ja attiecināmās papildu investīciju izmaksas ir 15 000 euro, mazam vai sīkam uzņēmumam Regulas Nr. 651/2014 36.b pantā un noteikumu 30.2. apakšpunktā paredzētā 50 % atbalsta intensitāte būtu 7 500 euro, savukārt noteikumu 29.1. apakšpunktā noteiktais 5 000 euro maksimālais finansējuma apmērs faktiski samazinātu saņemamo atbalstu. Līdz ar to nevar piekrist izziņā ietvertajam secinājumam, ka noteikumu 29. punktā paredzētie griesti nav ierobežojoši Regulas Nr. 651/2014 36.b panta saņēmējiem, tostarp lauksaimniecības produktu primārajiem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izziņā norādīts, ka noteikumu 29. punktā paredzētie maksimālie finansējuma apmēri ir saskaņoti ar Eiropas Investīciju bankā iesniegto un apstiprināto investīciju priekšlikumu. Tomēr no sniegtā skaidrojuma nav iespējams secināt, vai EIB apstiprinātais investīciju priekšlikums nepieļauj atšķirīgu maksimālā atbalsta apmēra noteikšanu atsevišķām saņēmēju grupām vai tā precizēšanu gadījumos, kad atbalsts tiek piešķirts saskaņā ar Regulas Nr. 651/2014 36.b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atkārtoti izvērtēt noteikumu 29. punkta piemērošanu saimnieciskās darbības veicējiem, kas nodarbojas ar lauksaimniecības produktu primāro ražošanu, nodrošinot iespēju saņemt atbalstu atbilstoši noteikumu 30.2. apakšpunktā un Regulas Nr. 651/2014 36.b pantā pieļaujamajai atbalsta intensitātei. Ja noteikumu 29. punktā paredzēto maksimālo finansējuma apmēru nav iespējams mainīt EIB apstiprinātā investīciju priekšlikuma nosacījumu dēļ, lūdzam izziņā un anotācijā sniegt konkrētu pamatojumu par attiecīgā ierobežojuma saistošo raksturu un to, kādēļ nav iespējams paredzēt izņēmumu minētajai atbalsta saņēmēju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Zelčs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tādu jaunu M1, N1, M2 vai N2 kategorijas elektromobiļu iegāde vai līzings (vismaz uz 12 mēnešiem), kuri atbilst Eiropas Parlamenta un Padomes 2018. gada 30. maija Regulas (ES) Nr. </w:t>
            </w:r>
            <w:r w:rsidR="00000000" w:rsidRPr="00000000" w:rsidDel="00000000">
              <w:rPr>
                <w:rtl w:val="0"/>
              </w:rPr>
              <w:t xml:space="preserve">2018/858</w:t>
            </w:r>
            <w:r w:rsidR="00000000" w:rsidRPr="00000000" w:rsidDel="00000000">
              <w:rPr>
                <w:rtl w:val="0"/>
              </w:rPr>
              <w:t xml:space="preserve"> par mehānisko transportlīdzekļu un to piekabju, kā arī tādiem transportlīdzekļiem paredzētu sistēmu, sastāvdaļu un atsevišķu tehnisku vienību apstiprināšanu un tirgus uzraudzību un ar ko groza Regulas (EK) Nr. 715/2007 un (EK) Nr. 595/2009 un atceļ Direktīvu 2007/46/EK, 4. panta 1. punkta "a" un "b" apakšpunktā noteiktajam transportlīdzekļu kategoriju dalījumam;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iespēju noteikumu projektā paredzēt atbalstu arī mazlietotu elektromobiļu iegādei saimnieciskās darbības veicējiem, kas nodarbojas ar lauksaimniecības produktu primāro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lietotu elektromobiļu iekļaušana programmā radītu grūtības attiecināmo izmaksu noteikšanā, kā arī riskus saistībā ar transportlīdzekļa tehnisko stāvokli, jo īpaši baterijas kapacitāti un atlikušo kalpošanas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minētos riskus nav iespējams mazināt, nosakot konkrētus un pārbaudāmus kritērijus mazlietotiem elektromobiļiem, piemēram, maksimālo transportlīdzekļa vecumu un nobraukumu, minimālo baterijas atlikušās kapacitātes līmeni, prasības garantijai vai tehniskā stāvokļa apliecinājumam.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ļautu ierobežot atbalstu ar tehniski atbilstošiem un salīdzinoši maz ekspluatētiem transportlīdzekļiem, vienlaikus padarot elektromobiļu iegādi finansiāli pieejamāku lauksaimniecības produktu primārajiem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papildus izvērtēt iespēju noteikt atsevišķus kritērijus mazlietotu elektromobiļu atbalstam un, ja šāda iespēja nav īstenojama EIB apstiprinātā investīciju priekšlikuma nosacījumu dēļ, sniegt par to attiecīgu skaidrojumu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Zelčs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27.08.2026.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27.08.2026.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Atzinumi_25-TA-2357.docx</dc:title>
</cp:coreProperties>
</file>

<file path=docProps/custom.xml><?xml version="1.0" encoding="utf-8"?>
<Properties xmlns="http://schemas.openxmlformats.org/officeDocument/2006/custom-properties" xmlns:vt="http://schemas.openxmlformats.org/officeDocument/2006/docPropsVTypes"/>
</file>