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Kongresu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43.13. atbalsta nodrošināšana starptautisku sporta pasākumu organizēšanai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Ierosinu ievērot vienlīdzības principu – un lielo konferenču rīkošanai attiecināt tādus pašus noteikumus kā sporta pasākumiem bez nekādas proporcijas no dalībnieku skaita un ar lielāku atbalsta intensitāti. Ja konferencēm, kuras tiek organizētas ir maksimālais atbalsts 12 000 un gada laikā ne vairāk kā 40 000, tad sporta pasākumiem šādu griestu nav un apjoms ir līdz 200 000 par vienu pasākumu un bez maksimālā gada apjoma. Kā arī ierosinām iekļaut starptautisku izstāžu rīkošanu.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nodrošināšana starptautisku izstāžu, sporta pasākumu un lielu konferenču organizēšanai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Zvirbulis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21.06.2023.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21.06.2023.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Atzinumi_22-TA-1353.docx</dc:title>
</cp:coreProperties>
</file>

<file path=docProps/custom.xml><?xml version="1.0" encoding="utf-8"?>
<Properties xmlns="http://schemas.openxmlformats.org/officeDocument/2006/custom-properties" xmlns:vt="http://schemas.openxmlformats.org/officeDocument/2006/docPropsVTypes"/>
</file>