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Augstskolu 58.</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 </w:t>
            </w:r>
            <w:r w:rsidR="00000000" w:rsidRPr="00000000" w:rsidDel="00000000">
              <w:rPr>
                <w:rtl w:val="0"/>
              </w:rPr>
              <w:t xml:space="preserve">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likuma nosaukumu, jo tas ir nepilnīgs.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I nodaļas nosaukumu, jo attiecīgajā nodaļā ir tikai viens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tieši padotais vai vadītājs darba vietā, pretendenta zinātnisko publikāciju līdzautors, promocijas darba vadītājs un konsultants, kā arī tās laboratorijas, katedras vai grupas personāls, kurā izstrādāts promocijas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termina "radinieks" tvērumu projekta ietvaros un papildināt anotāciju. Papildus aicinām izvērtēt, vai regulējums nav nosakāms atbilstoši likumam "Par interešu konflikta novēršanu valsts amatpersonu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pretendents, padomes loceklis atrodas citā vietā un objektīvi nevar ierasties padomes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punkts atbilst pilnvarojošai normai. Projektā ir jāparedz pamatprasības </w:t>
            </w:r>
            <w:r w:rsidR="00000000" w:rsidRPr="00000000" w:rsidDel="00000000">
              <w:rPr>
                <w:u w:val="single"/>
                <w:rtl w:val="0"/>
              </w:rPr>
              <w:t xml:space="preserve">promocijas padomes izveidei, nevis padomes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Pretendentam ir tiesības mēneša laikā pēc šo noteikumu 5.2. apakšpunktā minētās informācijas saņemšanas, argumentēti pamatojot, prasīt augstskolai iecelta promocijas padomes locekļa un recenzenta nomaiņu. Augstskolas doktorantūras skola  atbilstoši augstskolas kārtībai izvērtē pretendenta iebildumus un izsniedz pretendentam rakstisku sava lēmuma pamatojumu, kuru pretendentam ir tiesības apstrīdēt atbilstoši augstskolas satversmē noteiktajai strīdu izskatīšanas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punkts atbilst pilnvarojošai normai. Projektā ir jāparedz pamatprasības promocijas padomes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8.sadaļas apakšpunktus, sniedzot informāciju, vai projekts skar noteikto jomu, atbildot ar "jā" vai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