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Mājas (istabas) dzīvnieka atsavināšanas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"Mājas (istabas) dzīvnieka atsavināšanas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biedrība (turpmāk-LVB) ir iepazinusies ar TAP portālā pieejamo MK noteikumu projektu Nr. 23-TA-1261 "Prasības mājas (istabas) dzīvnieka atsavināšanai un sludinājumam" un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LVB lūdzu noteikumos skaidri definēt, kas ir uzskatāms par sludinājumu.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jābūt skaidri definētam, ka prasībām par sludinājumā norādāmo informāciju būtu jāattiecas gan uz specializētos portālos (piemēram, www.ss.com) izvietotiem sludinājumiem, gan dažādos citos portālos, piemēram, www.andelemandele.lv, gan visa veida laikrakstos, sociālajos tīklos (Facebook, Instagram u.c.) izvietotiem sludinājumiem. Lai gan populārākā vieta, kur tiek izvietoti sludinājumi par dzīvnieku atsavināšanu, ir sludinājumu portāls www.ss.com, ļoti daudz sludinājumi tiek publicēti dažādās speciāli tam veidotās Facebook grupās, neskatoties uz to, ka Facebook politika aizliedz dzīvnieku tirdzniecību. Tāpat, piemēram, www.andelemandele.lv ir atsevišķa sadaļa dzīvnieku tirdzniecībai, kurā cita starpā tiek tirgoti arī kucēni un kaķēni.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šīm un arī citām interneta vietnēm ir jāattiecina MK noteikumu prasības, lai varētu īstenot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LVB rosina papildināt 2.5. punktu pēc vārda "ārstēšanu" ar tekstu "ja tāda nepieciešama vai uzsākta"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praktizējoša veterinārārsta rakstveida norādījumiem par atsavināmā suņa vai kaķa ārstēšanu, ja tāda nepieciešama vai  uzsākta, barošanu un aprūpi, ja patversme atsavina suni, kas patversmē nonācis bez mātes un nav sasniedzis astoņu nedēļu vecumu, vai kaķi, kas patversmē nonācis bez mātes un nav sasniedzis 12 nedēļu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3. punktu - LVB ieskatā jābūt atrunātām prasībām, ja tiek atsavināts suns, kas atzīts par bīstamu. Šīm prasībām būtu jāattiecas uz šāda suņa īpašnieku, gan patversmi.</w:t>
            </w:r>
            <w:r w:rsidR="00000000" w:rsidRPr="00000000" w:rsidDel="00000000">
              <w:rPr>
                <w:b w:val="1"/>
                <w:rtl w:val="0"/>
              </w:rPr>
              <w:t xml:space="preserve">4) Par 7.2.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būtu jāpapildina ar prasību norādīt numuru PVD uzraudzības objektu reģistrā, ja tāds ir piešķirts, un apstiprinājumu, ka saskaņā ar Dzīvnieku aizsardzības likuma 18.2 pantu pavairošanas fakts reģistrēts LDC.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LVB vērš uzmanību, ka saskaņā ar tās rīcībā esošo informāciju, ciltsrakstu ciltsdarba organizācija neizsniedz suņiem 8 nedēļu vecumā. Ciltsraksti tiek izsniegti jau uz jaunā īpašnieka vārda. Attiecīgi arī kucēniem, kas ir vecāki par noteikumu 3.4. un 3.5. apakšpunktā minēto vecumu, vēl var nebūt ciltsrakstu numura. Aicinām šajā jautājumā konsultēties ar ciltsdarba organizācijām, tomēr nodrošinot, ka noteikumi neparedz izvietot sludinājumus par kucēniem ,kas vecāki par noteikumu 3.4. un 3.5. apakšpunktā minēto vecumu, balstoties uz mātes reģistrācijas faktu LDC, bet par noteikumu 3.4. un 3.5. apakšpunktā minēto vecumu, balstoties uz mātes reģistrācijas faktu LDC, bet par šo vecumu sasniegušajiem dzīvniekim sludinājumos jābūt pieejamai informācijai par katra kucēna individuālu mikroshēmas reģistrāciju LDC.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LVB ieskatā 8. punkts būtu jāpapildina ar noteikumu, ka tad, kad dzīvnieki sasniedz 3.4. un 3.5. apakšpunktā noteikto vecumu vai kad ir izsniegti cilstraksti, sludinājumam ir jau jāatbilst visiem nosacījumiem un attiecīgi ir jāievieto atbilstošs sludinājums.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Vaškevica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23-TA-1261</w:t>
    </w:r>
    <w:r>
      <w:br/>
    </w:r>
    <w:r w:rsidR="00000000" w:rsidRPr="00000000" w:rsidDel="00000000">
      <w:rPr>
        <w:rtl w:val="0"/>
      </w:rPr>
      <w:t xml:space="preserve">Izdrukāts 22.04.2024.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23-TA-1261</w:t>
    </w:r>
    <w:r>
      <w:br/>
    </w:r>
    <w:r w:rsidR="00000000" w:rsidRPr="00000000" w:rsidDel="00000000">
      <w:rPr>
        <w:rtl w:val="0"/>
      </w:rPr>
      <w:t xml:space="preserve">Izdrukāts 22.04.2024.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Atzinumi_23-TA-1261.docx</dc:title>
</cp:coreProperties>
</file>

<file path=docProps/custom.xml><?xml version="1.0" encoding="utf-8"?>
<Properties xmlns="http://schemas.openxmlformats.org/officeDocument/2006/custom-properties" xmlns:vt="http://schemas.openxmlformats.org/officeDocument/2006/docPropsVTypes"/>
</file>