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valstspilsētu un novadu pašvaldību vēlēšanu komisiju un vēlēšanu iecirkņu komisiju locekļu atlīdzību un ēdināšanas izdevumu kompensāciju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valstspilsētu un novadu pašvaldību vēlēšanu komisiju un vēlēšanu iecirkņu komisiju locekļu atlīdzību un ēdināšanas izdevumu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virzāms izskatīšanai Ministru kabineta sēdē, attiecīgi precizējot informāciju anotācijas 3.sadaļā, tikai pēc tam, kad būs atrisināts jautājums par Centrālajai vēlēšanu komisijai papildu nepieciešamā finansējuma piešķiršanu. Vienlaikus vēršam uzmanību, ka anotācijas 3.sadaļā norādītais papildu nepieciešamais valsts budžeta finansējums 2026.gadam 1 512 568 euro apmērā atlīdzības nodrošināšanai vēlēšanu komisiju un vēlēšanu iecirkņu komisiju locekļiem nesakrīt ar Centrālās vēlēšanas komisijas prioritārajam pasākumam “Vēlēšanu komisiju atlīdzības nodrošināšana (likmju izmaiņa iesniegto apmēru)” pieprasīto finansējumu  1 306 683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24.07.2025.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24.07.2025.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Atzinumi_25-TA-1745.docx</dc:title>
</cp:coreProperties>
</file>

<file path=docProps/custom.xml><?xml version="1.0" encoding="utf-8"?>
<Properties xmlns="http://schemas.openxmlformats.org/officeDocument/2006/custom-properties" xmlns:vt="http://schemas.openxmlformats.org/officeDocument/2006/docPropsVTypes"/>
</file>