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sniegts skaidrojums, kāds ir pamatojums noteikt 20% pieaugumu vispārējās un speciālās izglītības pedagogu darba samaksai, kā arī ar aprēķiniem nav pamatota 20% pieauguma nepieciešamība. Ņemot vērā minēto, neatbalstām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jautājums par papildu finansējumu ir risināms budžeta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Runkovska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07.07.2023.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07.07.2023.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Atzinumi_23-TA-1185.docx</dc:title>
</cp:coreProperties>
</file>

<file path=docProps/custom.xml><?xml version="1.0" encoding="utf-8"?>
<Properties xmlns="http://schemas.openxmlformats.org/officeDocument/2006/custom-properties" xmlns:vt="http://schemas.openxmlformats.org/officeDocument/2006/docPropsVTypes"/>
</file>