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Plānu reto slimību jomā 2026.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LM kā atbildīgās institūcijas norādīšanu Plāna projekta 2.2. punktā. Piekrītam, ka personām ar retajām slimībām, tāpat kā ikvienai iedzīvotāju grupai, ir nepieciešama skaidra informācija par pieejamiem pakalpojumiem dažādās nozarēs. LM var sniegt informatīvo atbalstu šādu pacientu ceļu izstrādē, tomēr nevar uzņemties vadošu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 punktā LM norādīt kā līdzatbildīgo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3.1. punkta 3) rezultatīvā rādītājā iekļauto, ka LM ir noteikta kā atbildīgā institūcija. Piekrītam, ka personām ar retajām slimībām, tāpat kā ikvienai iedzīvotāju grupai, ir nepieciešama skaidra informācija par pieejamiem pakalpojumiem, t.sk. rehabilitācijas pakalpojumiem. LM var sniegt informatīvo atbalstu šādu pacientu ceļa karšu izstrādē, tomēr nevar uzņemties vadošu lomu.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norādīt kā līdzatbildīgo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3.2. punktā iekļauto redakciju. Saskaņā ar Sociālo pakalpojumu un sociālās palīdzības likuma 9.panta pirmās daļas 7. punktu pašvaldībai ir pienākums nodrošināt atelpas brīža pakalpojumu bērniem ar invaliditāti, kuriem ir Veselības un darbspēju ekspertīzes ārstu valsts komisijas atzinums par īpašas kopšanas nepieciešamību, personām ar I grupas invaliditāti, kā arī personām ar garīga rakstura traucējumiem, kurām ir noteikta II grupas invaliditāte. Ja persona ar retajām slimībām atbilst kādai no SPSP likumā minētajām mērķa grupām,  sociālais dienests ir izvērtējis personu un pieņēmis lēmumu par atelpas brīža pakalpojuma piešķiršanu, persona ir tiesīga šādu pakalpojumu saņemt. LM netiek paredzēts paplašināt SPSPL noteiktās mērķa grupas, kurām ir jānodrošina Atelpas brīža pakalpojums, specifizējot to uz noteiktu saslimšanu grupu. Sociālo pakalpojumu kontekstā atbilstību pakalpojumam vērtē balstoties uz personas fizisko un garīgo spēju izvērtējumu un individuālajām vajadzībām, nevis konkrētu saslimšanas grupu. Turklāt personai ir tiesības neizpaust savas diagnozes, un pašvaldības sociālais dienests nav kompetents vērtēt personas slimību diagnozes.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Atelpas brīža pakalpojumu nodrošināšanā atbildīgā ir pašvaldība, kur pakalpojumi tiek nodrošināti par pašvaldības līdzekļiem, nevis valsts budžeta līdzekļiem. Saskaņā ar SPSPL 9. panta 1.</w:t>
            </w:r>
            <w:r w:rsidR="00000000" w:rsidRPr="00000000" w:rsidDel="00000000">
              <w:rPr>
                <w:vertAlign w:val="superscript"/>
                <w:rtl w:val="0"/>
              </w:rPr>
              <w:t xml:space="preserve">2 </w:t>
            </w:r>
            <w:r w:rsidR="00000000" w:rsidRPr="00000000" w:rsidDel="00000000">
              <w:rPr>
                <w:rtl w:val="0"/>
              </w:rPr>
              <w:t xml:space="preserve">punktā noteikto, pašvaldības ir tiesīgas par saviem līdzekļiem papildus šā panta 1</w:t>
            </w:r>
            <w:r w:rsidR="00000000" w:rsidRPr="00000000" w:rsidDel="00000000">
              <w:rPr>
                <w:vertAlign w:val="superscript"/>
                <w:rtl w:val="0"/>
              </w:rPr>
              <w:t xml:space="preserve">.1</w:t>
            </w:r>
            <w:r w:rsidR="00000000" w:rsidRPr="00000000" w:rsidDel="00000000">
              <w:rPr>
                <w:rtl w:val="0"/>
              </w:rPr>
              <w:t xml:space="preserve"> daļā noteiktajiem pakalpojumiem nodrošināt citus sociālos pakalpojumus, kā arī tiesības šā panta 1.</w:t>
            </w:r>
            <w:r w:rsidR="00000000" w:rsidRPr="00000000" w:rsidDel="00000000">
              <w:rPr>
                <w:vertAlign w:val="superscript"/>
                <w:rtl w:val="0"/>
              </w:rPr>
              <w:t xml:space="preserve">1 </w:t>
            </w:r>
            <w:r w:rsidR="00000000" w:rsidRPr="00000000" w:rsidDel="00000000">
              <w:rPr>
                <w:rtl w:val="0"/>
              </w:rPr>
              <w:t xml:space="preserve">daļā noteiktos sociālos pakalpojumus nodrošināt citām personu grupām.  Līdz ar to, ja pašvaldības ir pieņēmušas lēmumu par atlepas brīža pakalpojuma nodrošināšanu arī kādām citām iedzīvotāju grupām, kas nav noteiktas SPSPL, piemēram, personām ar retajām slimībām (ja šada informācija ir), pašvaldības to ir tiesīgas darīt.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iebilst pret 3.4. plāna projekta punkta ieklaušanu plānā. LM netiek plānots ieviest vai īstenot Help-line pilotprojektu, kas nodrošinās atbalsta funkcijas konkrētai saslimšanu grupai un viņu ģimenes locekļiem. LM kompetencē neietilpst kādu konkrētu slimību grupu atbalsta nodrošināšana, jo sociālie pakalpojumi un atbalsts ir vērsts uz vajadzību izvērtējumu un funkcionālo ierobežojumu ietekmes mazināšanu, nevis piederību konkrētai slimību grupai. Par sociālā atbalsta un sociālo pakalpojumu nodrošināšanu personas var vērsties pašvaldības sociālajā dienestā, kura kompetencē ir informēt iedzīvotājus par pieejamajiem sociālajiem pakalpojumiem. Sociālo pakalpojumu klāsts un saņemšnas kārtība katrā pašvalībā var būt atšķirīgs. LM norāda, ka atbalsta nodrošināšana jautājumos par veselības aprūpes pakalpojumiem konkrētām slimību grupām būtu jānodrošina VM resora  ietvaros, t.sk. izstrādājot vadlīnijas atbalsta tālruņa funkciju nodrošināšanai un šos pienākumus deleģējot mērķa grupas NVO. LM var sniegt informatīvo atbalstu saistībā ar vispārējo kārtību sociālo pakalpojumu pieprasīšanas, izvērtēšanas un saņemšanas kārtību, tomēr šāda plāna punkta iekļaušana un LM atbildības noteikšana neatbilst LM noteiktajām funkcijām un uzdevumiem un nav atbalstāma šī plāna kontekstā. Papildus vēršan uzmanību uz to, ka 3.4.punktā minētā pilotprojekta ieviešanai būtu nepieciešami papildu līdzekļi, kuri LM resorā šādai aktivitātei nav plānoti un pieejami.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projekta 4.3.3. punktā iekļauto.</w:t>
            </w:r>
            <w:r w:rsidR="00000000" w:rsidRPr="00000000" w:rsidDel="00000000">
              <w:rPr>
                <w:i w:val="1"/>
                <w:rtl w:val="0"/>
              </w:rPr>
              <w:t xml:space="preserve"> </w:t>
            </w:r>
            <w:r w:rsidR="00000000" w:rsidRPr="00000000" w:rsidDel="00000000">
              <w:rPr>
                <w:rtl w:val="0"/>
              </w:rPr>
              <w:t xml:space="preserve">SPSPL 25. panta pirmā daļa nosaka, ka Tehnisko palīglīdzekļu pakalpojumus ir tiesības saņemt personām ar ilgstošiem vai nepārejošiem organisma funkciju traucējumiem vai anatomiskiem defektiem, ja tās saņēmušas ārstniecības personas atzinumu par šāda pakalpojuma nepieciešamību. Proti, tehniskā palīglīdzekļa vajadzība netiek vērtēta balstoties uz piederību noteiktai saslimšanu grupai, bet gan balstoties uz personas individuālo vajadzību, kuru izvērtē un nosaka ārstniecības persona. Vaivaru tehnisko palīglīdzekļu centrs (VTPC) regulāri nodrošina dažādus informatīvos pasākumus par tehniskajiem palīglīdzekļiem un to pieejamību, tomēr, ņemot vērā iepriekšminēto, netiek plānots īstenot specifiskas informatīvās kampaņas noteiktām slimību grupām. Tajā pat laikā,  VTPC turpinās īstenot informatīvās kampaņas par tehnisko palīglīdzekļu pieejamību, kas mērķētas uz sabiedrību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2026.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sadaļā "Izmantotie saīsinājumi" ietvert visus Plāna tekstā izmantotos saīsinājumus, tai skaitā Labklājības  ministriju (LM)  un citus, piemēram, "LDVC" un "VIPS", kā arī ievērot konsekvenci skaitļu un euro pierakstā, vārda "tāpat" lietošanā un pārdomāt veiksmīgākas teikumu konstrukcijas.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Ševčuna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26-TA-628</w:t>
    </w:r>
    <w:r>
      <w:br/>
    </w:r>
    <w:r w:rsidR="00000000" w:rsidRPr="00000000" w:rsidDel="00000000">
      <w:rPr>
        <w:rtl w:val="0"/>
      </w:rPr>
      <w:t xml:space="preserve">Izdrukāts 05.06.2026.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Atzinumi_26-TA-628.docx</dc:title>
</cp:coreProperties>
</file>

<file path=docProps/custom.xml><?xml version="1.0" encoding="utf-8"?>
<Properties xmlns="http://schemas.openxmlformats.org/officeDocument/2006/custom-properties" xmlns:vt="http://schemas.openxmlformats.org/officeDocument/2006/docPropsVTypes"/>
</file>