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Kuģu, kuģošanas kompāniju, ostu un ostas iekārtu aizsardzības funkciju sadalījuma, izpildes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Anotācija, 1.1.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9. punkta redakciju, kas saturiski nav saistīta ar sekojošiem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informācijas apmaiņu ar institūcijām, kas ir atbildīgas par kuģu aizsardzību, vai personām, kas ir ieinteresētas kuģu aizsardzībā.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projekta 10.4. apakšpunkta redakciju attiecībā uz vārdiem "personām, kas ir ieinteresētas kuģu aizsardzībā". Minētais formulējums ir neskaidrs un var tikt tulkots, kā informācijas apmaiņa ar personām, kuras izrāda interesi par kuģu aizsardzību, taču tām nav tiesiska pamata ar to iepazīties.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89.2. informācijas apmaiņu ar institūcijām, kas ir atbildīgas par ostas iekārtu aizsardzību, vai personām, kas ir ieinteresētas ostas iekārtu aizsardzībā.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projekta 89.2. apakšpunkta redakciju attiecībā uz vārdiem "personām, kas ir ieinteresētas ostas iekārtu aizsardzībā". Minētais formulējums ir neskaidrs un var tikt tulkots, kā informācijas apmaiņa ar personām, kuras izrāda interesi par ostas iekārtu aizsardzību, taču tām nav tiesiska pamata ar to iepazīties.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104.2. saskaņā ar Sodu reģistrā pieejamo informāciju nav sodīta par tīšu noziedzīgu nodarījumu, izņemot, ja persona ir reabilitēta vai personas sodāmība ir dzēsta vai noņemta.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sadaļā ietverto norādi, ka ostas un ostu iekārtas ir kritiskās infrastruktūras objekti, ostas aizsardzības virsnieka un tā vietnieka amatos nevar apstiprināt personas, kas ir sodītas par tīšu noziedzīgu nodarījumu, izņemot, ja persona ir reabilitēta vai personas sodāmība ir dzēsta vai noņemta, ierosinām projekta 104.2. apakšpunktā paredzētos kritērijus salāgot ar  Ministru kabineta 2021. gada 6. jūlija noteikumu Nr. 508 "Kritiskās infrastruktūras, tajā skaitā Eiropas kritiskās infrastruktūras, apzināšanas, drošības pasākumu un darbības nepārtrauktības plānošanas un īstenošanas kārtība" 15.2.-15.4. apakšpunktos noteiktajiem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Ostas iekārtas aizsardzības plānu vai tā grozījumus apstiprina, izdarot atbilstošu apstiprinājuma uzrakstu. Apstiprināto ostas iekārtas aizsardzības plānu vai tā grozījumus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118. punkta redakciju, jo atbilstoši 113.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Vienu apstiprināto ostas iekārtas aizsardzības plāna vai tā grozījumu eksemplāru glabā ostas iekārtā, otru eksemplāru – ostā, bet trešo eksemplāru – KOAI.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123. punkta redakciju, jo atbilstoši 113.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142.2. informācijas apmaiņu ar institūcijām, kas ir atbildīgas par ostu aizsardzību, vai personām, kuras ir ieinteresētas ostu aizsardzībā.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projekta 142.2. apakšpunkta redakciju attiecībā uz vārdiem "personām, kuras ir ieinteresētas ostu aizsardzībā". Minētais formulējums ir neskaidrs un var tikt tulkots, kā informācijas apmaiņa ar personām, kuras izrāda interesi par ostas aizsardzību, taču tām nav tiesiska pamata ar to iepazīties.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 saskaņā ar Sodu reģistrā pieejamo informāciju nav sodīta par tīšu noziedzīgu nodarījumu, izņemot, ja persona ir reabilitēta vai personas sodāmība ir dzēsta vai noņemta.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sadaļā ietverto norādi, ka ostas un ostu iekārtas ir kritiskās infrastruktūras objekti, ostas aizsardzības virsnieka un tā vietnieka amatos nevar apstiprināt personas, kas ir sodītas par tīšu noziedzīgu nodarījumu, izņemot, ja persona ir reabilitēta vai personas sodāmība ir dzēsta vai noņemta, ierosinām projekta 161.2. apakšpunktā paredzētos kritērijus salāgot ar  Ministru kabineta 2021. gada 6. jūlija noteikumu Nr. 508 "Kritiskās infrastruktūras, tajā skaitā Eiropas kritiskās infrastruktūras, apzināšanas, drošības pasākumu un darbības nepārtrauktības plānošanas un īstenošanas kārtība" 15.2.-15.4. apakšpunktos noteiktajiem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KOAI inspektors izvērtē ostas aizsardzības plāna vai tā grozījumu atbilstību aizsardzības prasībām, kā arī pārbauda, vai ostas aizsardzības plānā vai tā grozījumos noteiktais caurlaižu režīms ir saskaņots ar kompetentajām iestādēm atbilstoši normatīvajos aktos par robežšķērsošanas vietas režīmu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173. punkta redakciju, jo atbilstoši 171.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Ostas aizsardzības plānu vai tā grozījumus apstiprina, izdarot apstiprinājuma uzrakstu. Apstiprināto ostas aizsardzības plānu vai tā grozījumus nosūta ostas aizsardzības virsniekam, bet, ja tāda nav, ostas aizsardzības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176. punkta redakciju, jo atbilstoši 171.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Vienu apstiprināto ostas aizsardzības plāna vai tā grozījumu eksemplāru glabā ostā, otru eksemplāru – KOAI.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181. punkta redakciju, jo atbilstoši 171. punktā noteiktajam plāna grozījumi kā atsevišķs dokuments netiek noformēts.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02.10.2024.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02.10.2024.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Atzinumi_24-TA-609.docx</dc:title>
</cp:coreProperties>
</file>

<file path=docProps/custom.xml><?xml version="1.0" encoding="utf-8"?>
<Properties xmlns="http://schemas.openxmlformats.org/officeDocument/2006/custom-properties" xmlns:vt="http://schemas.openxmlformats.org/officeDocument/2006/docPropsVTypes"/>
</file>