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un nedzīvojamā ēkā patērēto siltumenerģiju uzskaita atsevišķi katrai dzīvojamo un nedzīvojamo telpu grupai. Patērētās siltumenerģijas uzskaitē izmanto attālināti nolasāmus individuālus siltumenerģijas patēriņa skaitītājus, ja tas ir tehniski iespējams un ekonomiski pamatoti. Ja individuālu skaitītāju izmantošana katrā ēkas vienībā nav tehniski iespējama vai nav ekonomiski pamatota, siltumenerģijas patēriņa mērīšanai izmanto individuālus siltummaksas sadalītājus, ar kuriem mēra siltumenerģijas patēriņu katrā radiatorā. Ja individuālu siltuma maksas sadalītāju uzstādīšana katram sildelementam nav tehniski iespējama vai nav ekonomiski pamatota, izmanto  siltumenerģijas patēriņa noteikšanas sistēmu, izmantojot tiešsaistē periodiski fiksētus siltumnesēja caurplūdes un apkures cauruļvadu virsmu temperatūras datus (turpmāk – siltumenerģijas patēriņa noteikšanas sistēma), ja tas ir tehniski iespējams  un ekonomiski pamatoti. Individuālie siltumenerģijas skaitītāji atbilst metroloģiskajām prasībām, kas noteiktas normatīvajos aktos par mērījumu vienotību, individuālie siltuma maksas sadalītāji atbilst prasībām, kas noteiktas standartā LVS EN 834+AC:2021 "Siltuma maksas sadalītāji dzīvokļa apsildes radiatoriem. Ierīces ar elektroenerģijas avotu", un siltumenerģijas patēriņa noteikšanas sistēma atbilst dzīvojamās mājas īpašnieku un radioiekārtu atbilstības novērtēšanas, piedāvāšanas tirgū, uzstādīšanas, lietošanas un uzraudzības regulējumā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 punktā ietvertās izmaiņas noteikumu 5. punktā, aicinām izvērtēt Eiropas Parlamenta un Padomes 2023. gada 13. septembra direktīvas (ES) 2023/1791 par energoefektivitāti un ar ko groza Regulu (ES) 2023/955 (pārstrādātā redakcija) (turpmāk – Direktīva 2023/1791) 16. panta 1. punktā ietvertās prasības un tai atbilstošās Eiropas Parlamenta un Padomes 2012. gada 25. oktobra Direktīvas 2012/27/ES par energoefektivitāti, ar ko groza Direktīvas 2009/125/EK un 2010/30/ES un atceļ Direktīvas 2004/8/EK un 2006/32/EK (turpmāk - Direktīva 2012/27/ES) prasības pārņemšanas pilnīgumu. Proti, aicinām izvērtēt un skaidrot, kā pilnībā pārņemta attiecīgā prasība: "</w:t>
            </w:r>
            <w:r w:rsidR="00000000" w:rsidRPr="00000000" w:rsidDel="00000000">
              <w:rPr>
                <w:i w:val="1"/>
                <w:rtl w:val="0"/>
              </w:rPr>
              <w:t xml:space="preserve">Direktīvas 14. un 15. panta nolūkā </w:t>
            </w:r>
            <w:r w:rsidR="00000000" w:rsidRPr="00000000" w:rsidDel="00000000">
              <w:rPr>
                <w:i w:val="1"/>
                <w:u w:val="single"/>
                <w:rtl w:val="0"/>
              </w:rPr>
              <w:t xml:space="preserve">jaunuzstādīti skaitītāji un siltummaksas sadalītāji ir attālināti nolasāmas</w:t>
            </w:r>
            <w:r w:rsidR="00000000" w:rsidRPr="00000000" w:rsidDel="00000000">
              <w:rPr>
                <w:i w:val="1"/>
                <w:rtl w:val="0"/>
              </w:rPr>
              <w:t xml:space="preserve"> ierīces. Piemēro tehniskās iespējamības un izmaksu lietderības nosacījumus, kas izklāstīti 15. panta 1. punktā.jaunuzstādīti skaitītāji un siltummaksas sadalītāji ir attālināti nolasāmas ierīces. Piemēro tehniskās iespējamības un izmaksu lietderības nosacījumus, kas izklāstīti 15. panta 1. punktā." </w:t>
            </w:r>
            <w:r w:rsidR="00000000" w:rsidRPr="00000000" w:rsidDel="00000000">
              <w:rPr>
                <w:rtl w:val="0"/>
              </w:rPr>
              <w:t xml:space="preserve">No projekta 3. punkta pašreizējās redakcijas neizriet, ka arī jaunuzstādīti </w:t>
            </w:r>
            <w:r w:rsidR="00000000" w:rsidRPr="00000000" w:rsidDel="00000000">
              <w:rPr>
                <w:u w:val="single"/>
                <w:rtl w:val="0"/>
              </w:rPr>
              <w:t xml:space="preserve">siltummaksas sadalītāji</w:t>
            </w:r>
            <w:r w:rsidR="00000000" w:rsidRPr="00000000" w:rsidDel="00000000">
              <w:rPr>
                <w:rtl w:val="0"/>
              </w:rPr>
              <w:t xml:space="preserve"> ir attālināti nolasāmas ierīces. Attiecīgi aicinām novērst nepilnību vai sniegt skaidrojumu par direktīvas prasības pilnīgu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Individuālu siltuma maksas sadalītāju, individuālu siltumenerģijas patēriņa skaitītāju un siltumenerģijas patēriņa noteikšanas sistēmas uzstādīšanas tehnisko iespējamību un ekonomisko pamatojumu atkārtoti izvērtē pēc tam, kad daudzdzīvokļu dzīvojamā mājā, kurā individuāli siltuma maksas sadalītāji, individuāli siltumenerģijas patēriņa skaitītāji vai siltumenerģijas patēriņa noteikšanas sistēma nav uzstādīta, ir veikta apkures sistēmas atjaunošana vai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 punktā izteiktajā noteikumu 5. punktā, kā arī projekta 4. punktā izteiktajā noteikumu 5.</w:t>
            </w:r>
            <w:r w:rsidR="00000000" w:rsidRPr="00000000" w:rsidDel="00000000">
              <w:rPr>
                <w:vertAlign w:val="superscript"/>
                <w:rtl w:val="0"/>
              </w:rPr>
              <w:t xml:space="preserve">1</w:t>
            </w:r>
            <w:r w:rsidR="00000000" w:rsidRPr="00000000" w:rsidDel="00000000">
              <w:rPr>
                <w:rtl w:val="0"/>
              </w:rPr>
              <w:t xml:space="preserve"> punktā ietverto papildinājumu ar norādi uz "nedzīvojamu ēku", aicinām izvērtēt, vai projektā nav nepieciešami vēl kādi precizējumi vai papildinājumi (sk., piemēram, noteikumu 8. punktu). Papildus norādām, ka visus projektā ietvertos grozījumus nepieciešams pamatot anotācijā, attiecīgi aicinām anotācijā sniegt skaidrojumu, kādēļ paredzēts attiecīgo prasību attiecināt arī uz nedzīvojamu 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aizstāj tos ar attālināti nolasāmiem individuāliem siltuma maksas sadalītājiem, individuāliem siltumenerģijas patēriņa skaitītājiem vai siltumenerģijas patēriņa noteikšanas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skaidrot Direktīvas 2023/1791 16. panta 1. punkta 2. teikuma ("</w:t>
            </w:r>
            <w:r w:rsidR="00000000" w:rsidRPr="00000000" w:rsidDel="00000000">
              <w:rPr>
                <w:i w:val="1"/>
                <w:rtl w:val="0"/>
              </w:rPr>
              <w:t xml:space="preserve">Piemēro tehniskās iespējamības un izmaksu lietderības nosacījumus, kas izklāstīti 15. panta 1. punktā</w:t>
            </w:r>
            <w:r w:rsidR="00000000" w:rsidRPr="00000000" w:rsidDel="00000000">
              <w:rPr>
                <w:rtl w:val="0"/>
              </w:rPr>
              <w:t xml:space="preserve">.") un 2. punkta piebildes "</w:t>
            </w:r>
            <w:r w:rsidR="00000000" w:rsidRPr="00000000" w:rsidDel="00000000">
              <w:rPr>
                <w:i w:val="1"/>
                <w:rtl w:val="0"/>
              </w:rPr>
              <w:t xml:space="preserve">izņemot gadījumus, ja attiecīgā dalībvalsts ir pierādījusi, ka tas nav izmaksu ziņā lietderīgi</w:t>
            </w:r>
            <w:r w:rsidR="00000000" w:rsidRPr="00000000" w:rsidDel="00000000">
              <w:rPr>
                <w:rtl w:val="0"/>
              </w:rPr>
              <w:t xml:space="preserve">", kā arī atbilstošo Direktīvas 2012/27/ES prasību pārņemšanas pilnīgumu projekta 3. un 7. punktā attiecībā uz siltumenerģijas patēriņa skaitītājiem un siltummaksas sadalītājiem (sal. sk. projekta 8. un 9. punktu). Ja gadījumā projektā noteiktas stingrākas prasības, nekā paredz Eiropas Savienības tiesiskais regulējums, aicinām sniegt pamatojumu anotācijas 5.4. apakšsadaļas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27.11.2024.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27.11.2024.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Atzinumi_24-TA-1244.docx</dc:title>
</cp:coreProperties>
</file>

<file path=docProps/custom.xml><?xml version="1.0" encoding="utf-8"?>
<Properties xmlns="http://schemas.openxmlformats.org/officeDocument/2006/custom-properties" xmlns:vt="http://schemas.openxmlformats.org/officeDocument/2006/docPropsVTypes"/>
</file>