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nodrošināt, ka noteikumu projekta anotācijā ir sniegts skaidrojums par visu būtisko grozījumu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 (turpmāk - noteikumi Nr. 254) nepieciešamību un mērķi, tostarp precizējumiem šo noteikumu 16. punktā, 43.4.2.2. un 48.7.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Atļaut Veselības ministrijai saistībā ar šā protokollēmuma 5. punktā noteiktajām izmaiņām Atveseļošanas fonda plāna investīciju un Eiropas Reģionālās attīstības fonda projekta finansējumā neveikt grozījumus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un nevirzīt papildinošu informatīvo ziņojumu Ministru kabineta 2024. gada 5. novembra sēdē (prot. Nr. 47 38. §) izskatītajam informatīvajam ziņojumam "Par Eiropas Savienības Atveseļošanas un noturības mehānisma plāna 4. komponentes "Veselība" 4.2. reformu un investīciju virziena "Cilvēkresursu nodrošinājums un prasmju pilnveide" 4.2.1.1.i. investīcijas "Atbalsts cilvēkresursu attīstības sistēmas ieviešanai" projektu atlases īstenošanu", lai šīs izmaiņas fiksētu, ja vien nav nepieciešami citi grozījumi īstenošanas nosacījumos.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lēmuma projekta 6. punktu. Vēršam uzmanību, ja izmaiņas saistībā ar finansējuma pārdalēm ir būtiskas, piemērojot Ministru kabineta 2023. gada 20. jūnija noteikumus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pēc būtības (kādas tās, iespējams, varētu būt, jo paredz precizēt pieejamo finansējumu), tad nav saskatāms pamatojums grozījumus neveikt, savukārt, ja minētos noteikumus nav nepieciešams grozīt pēc būtības, tad šādā gadījumā piemērojams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punkts, ko nav pieļaujams lēmuma projektā dublēt.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līdz 2026. gada 31. augustam – slimnīcu infrastuktūra.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norādot konkrētu un izmērāmu (konkrētā skaitlī izteiktu) rādītāju atbilstoši atbalsta mērķim. Vēršam uzmanību, ka atbalsta mērķis ir stiprināt universitātes, reģionālo un specializēto slimnīcu veselības aprūpes pakalpojumu sniegšanas infrastruktūru, savukārt rādītājs - slimnīcu infrastruktūra - nesniedz priekšstatu par šī mērķa faktisku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49.1.1.3. administratīvo vai normatīvo procedūru kavējumi, kas radušies iestāžu darbības vai normatīvo aktu grozījumu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49.1. apakšpunkta tālākās apakšvienības, jo īpaši 49.1.1.2 un 49.1.1.3. apakšpunktu, nepieciešams izvērtēt un precizēt vai svītrot, kā arī sniegt atbilstošu skaidrojumu noteikumu projekta anotācijā. Vēršam uzmanību, ka no abiem minētajiem apakšpunktiem neizriet to sasaiste ar citu, 49.1.1.4. apakšpunktā paredzēto nepārvaramas varas pazīmi, proti, ka konkrētie kavējumi nav atkarīgi no finansējuma saņēmēja (49.1.1.2. apakšpunkta gadījumā - vai finansējuma saņēmējam bija jāparedz attiecīgie apstākļi), kā arī nav gūstama pārliecība par to, vai priekšnoteikums, ka būtiski jābūt ietekmētam projekta īstenošanas termiņam, ir piemērojams visos gadījumos vai vienīgi 49.1.1.4. apakšpunktā minētajiem apstākļiem. Savukārt 49.1.1.3. apakšpunkts neatbilst juridiskās tehnikas prasībām, jo no tā un anotācijas neizriet, kas ir domāts ar administratīvo vai normatīvo procedūru kavējumiem, jo īpaši, kādi tieši </w:t>
            </w:r>
            <w:r w:rsidR="00000000" w:rsidRPr="00000000" w:rsidDel="00000000">
              <w:rPr>
                <w:u w:val="single"/>
                <w:rtl w:val="0"/>
              </w:rPr>
              <w:t xml:space="preserve">normatīvo</w:t>
            </w:r>
            <w:r w:rsidR="00000000" w:rsidRPr="00000000" w:rsidDel="00000000">
              <w:rPr>
                <w:rtl w:val="0"/>
              </w:rPr>
              <w:t xml:space="preserve"> procedūru kavējumi var rasties </w:t>
            </w:r>
            <w:r w:rsidR="00000000" w:rsidRPr="00000000" w:rsidDel="00000000">
              <w:rPr>
                <w:u w:val="single"/>
                <w:rtl w:val="0"/>
              </w:rPr>
              <w:t xml:space="preserve">normatīvo</w:t>
            </w:r>
            <w:r w:rsidR="00000000" w:rsidRPr="00000000" w:rsidDel="00000000">
              <w:rPr>
                <w:rtl w:val="0"/>
              </w:rPr>
              <w:t xml:space="preserve"> aktu grozījumu dēļ, tostarp minētais apakšpunkts varētu būt pārāk plaši konstruēts, jo iestāžu darbība vai normatīvo aktu grozījumi (piemēram, ja grozījumi nostiprina tiesu judikatūru) var būt paredzami un pamatoti, savukārt administratīvo vai normatīvo procedūru kavējumi - nepamatoti.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49.1.1.4. citi objektīvi un dokumentēti apstākļi, kas nav atkarīgi no finansējuma saņēmēja un būtiski ietekmējuši projekta īstenošanas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vai tā anotācijā skaidrot, kādos gadījumos konstatējama būtiska ietekme uz projekta īstenošanas termiņu. Vēršam uzmanību, ka norāde uz būtiskumu ir subjektīva un var būt apgrūtinoši piemērojama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Grozījumi šo noteikumu investīcijas nosaukumā, </w:t>
            </w:r>
            <w:r w:rsidR="00000000" w:rsidRPr="00000000" w:rsidDel="00000000">
              <w:rPr>
                <w:rtl w:val="0"/>
              </w:rPr>
              <w:t xml:space="preserve">8.2.</w:t>
            </w:r>
            <w:r w:rsidR="00000000" w:rsidRPr="00000000" w:rsidDel="00000000">
              <w:rPr>
                <w:rtl w:val="0"/>
              </w:rPr>
              <w:t xml:space="preserve"> un </w:t>
            </w:r>
            <w:r w:rsidR="00000000" w:rsidRPr="00000000" w:rsidDel="00000000">
              <w:rPr>
                <w:rtl w:val="0"/>
              </w:rPr>
              <w:t xml:space="preserve">8.3. </w:t>
            </w:r>
            <w:r w:rsidR="00000000" w:rsidRPr="00000000" w:rsidDel="00000000">
              <w:rPr>
                <w:rtl w:val="0"/>
              </w:rPr>
              <w:t xml:space="preserve">apakšpunktos</w:t>
            </w:r>
            <w:r w:rsidR="00000000" w:rsidRPr="00000000" w:rsidDel="00000000">
              <w:rPr>
                <w:rtl w:val="0"/>
              </w:rPr>
              <w:t xml:space="preserve"> ar izmaiņām pasākuma ietvaros sasniedzamo mērķrādītāju vērtībās stājas spēkā vienlaikus ar Eiropas Komisijas lēmumu par attiecīgajiem Atveseļošanas fonda plāna grozījumu priekšlikumiem. Veselības ministrija pēc tam, kad Eiropas Komisija pieņēmusi lēmumu par Atveseļošanas fonda plāna grozījumu priekšlikumiem,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norādi ("Grozījumi šo noteikumu (..) 8.2. un 8.3. apakšpunktos </w:t>
            </w:r>
            <w:r w:rsidR="00000000" w:rsidRPr="00000000" w:rsidDel="00000000">
              <w:rPr>
                <w:b w:val="1"/>
                <w:rtl w:val="0"/>
              </w:rPr>
              <w:t xml:space="preserve">ar</w:t>
            </w:r>
            <w:r w:rsidR="00000000" w:rsidRPr="00000000" w:rsidDel="00000000">
              <w:rPr>
                <w:rtl w:val="0"/>
              </w:rPr>
              <w:t xml:space="preserve"> izmaiņām pasākuma ietvaros sasniedzamo mērķrādītāju vērtībās"). Norādām, ka izmaiņas saistībā  ar pasākuma ietvaros sasniedzamo mērķrādītāju vērtībām paredz ne vien 8.2. un 8.3. apakšpunkts, bet arī citi grozījumi, piemēram, noteikumu Nr. 254 15. un 43. punktā, 21., 21.</w:t>
            </w:r>
            <w:r w:rsidR="00000000" w:rsidRPr="00000000" w:rsidDel="00000000">
              <w:rPr>
                <w:vertAlign w:val="superscript"/>
                <w:rtl w:val="0"/>
              </w:rPr>
              <w:t xml:space="preserve">1</w:t>
            </w:r>
            <w:r w:rsidR="00000000" w:rsidRPr="00000000" w:rsidDel="00000000">
              <w:rPr>
                <w:rtl w:val="0"/>
              </w:rPr>
              <w:t xml:space="preserve"> un 21.</w:t>
            </w:r>
            <w:r w:rsidR="00000000" w:rsidRPr="00000000" w:rsidDel="00000000">
              <w:rPr>
                <w:vertAlign w:val="superscript"/>
                <w:rtl w:val="0"/>
              </w:rPr>
              <w:t xml:space="preserve">2</w:t>
            </w:r>
            <w:r w:rsidR="00000000" w:rsidRPr="00000000" w:rsidDel="00000000">
              <w:rPr>
                <w:rtl w:val="0"/>
              </w:rPr>
              <w:t xml:space="preserve"> punkta svītrošana, kā arī grozījumi šo noteikumu nosaukumā saistīti arī ar citām izmaiņām noteikumos Nr. 254, tostarp 1. punkta ievaddaļā, 11.1. apakšpunktā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veiktas izmaiņas noteikumu Nr. 254 vienībās (25. un 26. punkts), ar kurām iepriekš pārņemtas Komisijas 2011. gada 20. decembra Lēmuma 2012/21/ES par Līguma par Eiropas Savienības darbību 106. panta 2. punkta piemērošanu valsts atbalstam attiecībā uz kompensāciju par sabiedriskajiem pakalpojumiem dažiem uzņēmumiem, kuriem uzticēts sniegt pakalpojumus ar vispārēju tautsaimniecisku nozīmi, prasības, lūdzam aizpildīt noteikumu projekta 5.4. apakšsadaļas 1. tabulu, skaidrojot šo prasību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pirmās un otrās kārtas finansējuma saņēmējs izdevumus var veikt līdz 2026. gada 30. jūnijam, trešās kārtas finansējuma saņēmējs izdevumus var veikt līdz 2026.gada 11.decembrim (izņēmuma gadījumos, pirmās un otrās kārtas finansējuma saņēmējs, saskaņojot ar nozares ministriju un līgumslēdzēju, izdevumu veikšanas termiņu var pagarināt līdz 2026. gada 15. jūlijam).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pieturzīmi iekavas, jo tās nav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Grozījumi šo noteikumu investīcijas nosaukumā, </w:t>
            </w:r>
            <w:r w:rsidR="00000000" w:rsidRPr="00000000" w:rsidDel="00000000">
              <w:rPr>
                <w:rtl w:val="0"/>
              </w:rPr>
              <w:t xml:space="preserve">8.2.</w:t>
            </w:r>
            <w:r w:rsidR="00000000" w:rsidRPr="00000000" w:rsidDel="00000000">
              <w:rPr>
                <w:rtl w:val="0"/>
              </w:rPr>
              <w:t xml:space="preserve"> un </w:t>
            </w:r>
            <w:r w:rsidR="00000000" w:rsidRPr="00000000" w:rsidDel="00000000">
              <w:rPr>
                <w:rtl w:val="0"/>
              </w:rPr>
              <w:t xml:space="preserve">8.3. </w:t>
            </w:r>
            <w:r w:rsidR="00000000" w:rsidRPr="00000000" w:rsidDel="00000000">
              <w:rPr>
                <w:rtl w:val="0"/>
              </w:rPr>
              <w:t xml:space="preserve">apakšpunktos</w:t>
            </w:r>
            <w:r w:rsidR="00000000" w:rsidRPr="00000000" w:rsidDel="00000000">
              <w:rPr>
                <w:rtl w:val="0"/>
              </w:rPr>
              <w:t xml:space="preserve"> ar izmaiņām pasākuma ietvaros sasniedzamo mērķrādītāju vērtībās stājas spēkā vienlaikus ar Eiropas Komisijas lēmumu par attiecīgajiem Atveseļošanas fonda plāna grozījumu priekšlikumiem. Veselības ministrija pēc tam, kad Eiropas Komisija pieņēmusi lēmumu par Atveseļošanas fonda plāna grozījumu priekšlikumiem,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norādot konkrētāku attiecīgo normu spēkā stāšanās laiku, proti, vai domāta spēkā stāšanās vienlaikus ar Eiropas Komisijas lēmuma pieņemšanu vai lēmuma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27.10.2025.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27.10.2025.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Atzinumi_25-TA-2133.docx</dc:title>
</cp:coreProperties>
</file>

<file path=docProps/custom.xml><?xml version="1.0" encoding="utf-8"?>
<Properties xmlns="http://schemas.openxmlformats.org/officeDocument/2006/custom-properties" xmlns:vt="http://schemas.openxmlformats.org/officeDocument/2006/docPropsVTypes"/>
</file>