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atlases ietvaros tiek atbalstīti projekti, kurus īstenojot tiek uzlabota šo noteikumu </w:t>
            </w:r>
            <w:r w:rsidR="00000000" w:rsidRPr="00000000" w:rsidDel="00000000">
              <w:rPr>
                <w:rtl w:val="0"/>
              </w:rPr>
              <w:t xml:space="preserve">15.</w:t>
            </w:r>
            <w:r w:rsidR="00000000" w:rsidRPr="00000000" w:rsidDel="00000000">
              <w:rPr>
                <w:rtl w:val="0"/>
              </w:rPr>
              <w:t xml:space="preserve"> punktā minēto ēku energoefektivitāte un siltumnoturība līdz gandrīz nulles enerģijas ēkas vai bezemisiju ēkas līmenim, ievērojot normatīvajos aktos noteiktos izņēmumus un atkāpes.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tālākajiem soļiem, proti, vai projektu iesniegumu atlase tiks izsludināta pēc grozījumu apstiprināšanas Ministru kabineta 2021. gada 8. aprīļa noteikumos Nr. 222 "Ēku energoefektivitātes aprēķina metodes un ēku energosertifikācijas noteikumi" (turpmāk – noteikumi Nr. 222), kas paredzēs saistošus nosacījumus, proti, tādā veidā nodrošinot, ka uz atlases brīdi potenciālajiem projektu iesniedzējiem ir skaidras prasības un nosacījumi. Vienlaikus lūdzam Viedās administrācijas un reģionālās attīstības ministrijai izvērtēt nepieciešamību uzdot Ekonomikas ministrijai sagatavot un iesniegt nepieciešamos noteikumu Nr. 222 grozījumus līdz noteiktam termiņam, lai nodrošinātu, ka netiek būtiski kavēta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 (Evita Bāliņa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attiecināmās izmaksas atlases kārtas ietvaros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noteikumos iekļauto izmaksu procentuālo ierobežojumu viennozīmīgu un saprotamu interpretāciju un piemērošanu visām iesaistītajām pusēm, lūdzam izvērtēt nepieciešamību papildināt 26.punkta apakšpunktu nosacījumos, ka procentuālie ierobežojumi tiek aprēķināti attiecībā pret </w:t>
            </w:r>
            <w:r w:rsidR="00000000" w:rsidRPr="00000000" w:rsidDel="00000000">
              <w:rPr>
                <w:b w:val="1"/>
                <w:rtl w:val="0"/>
              </w:rPr>
              <w:t xml:space="preserve">plānotajām</w:t>
            </w:r>
            <w:r w:rsidR="00000000" w:rsidRPr="00000000" w:rsidDel="00000000">
              <w:rPr>
                <w:rtl w:val="0"/>
              </w:rPr>
              <w:t xml:space="preserve"> projekta tiešajām attiecināmajām izmaksām un iekļaut anotācijā skaidrojumu: "Lai nodrošinātu MK noteikumos iekļauto izmaksu procentuālo ierobežojumu viennozīmīgu un saprotamu interpretāciju un piemērošanu visām iesaistītajām pusēm, projektu apstiprinot, procentuālais ierobežojums tiek aprēķināts attiecībā pret projekta plānotajām izmaksām, taču projekta noslēguma budžeta kopsavilkums ir jākoriģē atbilstoši faktiskajai situācijai. Projekta īstenošanas periodā projekta budžeta izmaksu pozīcijas absolūtos skaitļos nesamazina gadījumā, ja projekta īstenošanas laikā rodas ietaupījums, bet projekta mērķi un rādītāji tiek sasniegti, kā arī, ja ticis piemērots līgumsods vai tiek konstatētas neatbilstoši veiktas izmaksas, kas nav saistītas ar procentuāli ierobežoto budžeta izmaksu pozīciju."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15.12.2025. saņemto pozitīvo Eiropas Komisijas lēmumu par Eiropas Savienības kohēzijas politikas programmas 2021.–2027. gadam grozījumiem, ar kuriem pasākums "Objektu (patvertņu) pielāgošana un aprīkošana civilās aizsardzības mērķiem" no 5.1.1.specifiskā atbalsta mērķa, pārcelts uz jauno 5.2. Prioritātes “Civilās aizsardzības stiprināšana” (ReArm speciālā prioritāte) 5.2.1. specifisko atbalsta mērķi "Civilās sagatavotības nodrošināšana visu veidu teritorijās", lūdzam anotācijā precizēt pasākuma nosaukumu uz </w:t>
            </w:r>
            <w:r w:rsidR="00000000" w:rsidRPr="00000000" w:rsidDel="00000000">
              <w:rPr>
                <w:b w:val="1"/>
                <w:rtl w:val="0"/>
              </w:rPr>
              <w:t xml:space="preserve">5.2.1.1. pasākums "Objektu (patvertņu) pielāgošana un aprīkošana civilās aizsardzības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veikto labojumu atsaucoties uz izziņas 88.priekšlikumu par enerģijas patēriņa pārskata iesniegšanu, lai būtu viennozīmīgi skaidrs, ka pārskats iesniedzams vienu reizi. Aicinām rindkopu izteikt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finansējuma saņēmējs piecus gadus pēc projekta īstenošanas nodrošina sasniegto rezultātu uzturēšanu un līdzekļus projekta rezultātu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iesniedz sadarbības iestādei (Centrālajai finanšu un līgumu aģentūrai) pārskatu par enerģijas patēriņu attiecīgajā ēkā. Finansējuma saņēmējam ir pienākums ziņot par projekta enerģijas patēriņa rādītājiem saskaņā ar Energoefektivitātes likuma 15. panta ceturto daļu, pēc Projekta pabeigšanas iesniedzot informāciju par objekta enerģijas patēriņu pirms un pēc Projekta īstenošanas, izmantojot Sadarbības iestādes tīmekļa vietnē publicēto veidlapu. Pārskatu iesniedz vienu reizi, norādot informāciju par pirmo pilno kalendāro gadu pēc Projekta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to, ka komercdarbības atbalsts uzņēmumiem, kuriem uzticēts sniegt pakalpojumus ar vispārēju tautsaimniecisku nozīmi, tiks sniegts saskaņā ar jauno Eiropas Komisijas 2025. gada 16. decembra lēmumu Nr.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Lēmums Nr. 2025/2630) un noteikumu projekts neparedz komercdarbības atbalsta sniegšanu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Nr. 2012/21/ES ), lūdzam precizēt anotācijā norādīto nekorekto informāciju: “</w:t>
            </w:r>
            <w:r w:rsidR="00000000" w:rsidRPr="00000000" w:rsidDel="00000000">
              <w:rPr>
                <w:i w:val="1"/>
                <w:rtl w:val="0"/>
              </w:rPr>
              <w:t xml:space="preserve">Ja pakalpojuma līgums noslēgts saskaņā ar Komisijas 2012.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pilnvarojuma uzlicējiem un finansējuma saņēmējiem grozījumi pilnvarojuma aktos (pakalpojumu līgumos), lai tie atbilstu Komisijas lēmumam Nr. 2025/2630, ir jāveic projekta īstenošanas laikā vai tā pēcuzraudzības laikā, ievērojot Komisijas lēmuma Nr. 2025/2630 9. panta a) punktā noteikto pārejas periodu (divus gadus kopš Komisijas lēmuma Nr. 2025/2630 stāšanās spēkā, tas ir, līdz 2028. gada 8. janvārim)</w:t>
            </w:r>
            <w:r w:rsidR="00000000" w:rsidRPr="00000000" w:rsidDel="00000000">
              <w:rPr>
                <w:rtl w:val="0"/>
              </w:rPr>
              <w:t xml:space="preserve">.”,  jo Lēmuma Nr. 2025/2630 9. panta a) punkta pārejas noteikumi attiecas uz esošām atbalsta programmām, kurās komercdarbības atbalsts bija plānots ar Lēmumu Nr. 2012/21/ES pirms Lēmuma Nr. 2025/2630 spēkā stāšanās, savukārt šī ir jauna atbalsta programma. Lai piešķirtu atbalstu ar Lēmumu Nr. 2025/2630, ir jāievēro visi tajā ietvertie nosacījumi, tai skaitā pilnvarojuma aktiem ir jāatbilst Lēmuma Nr. 2025/2630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“Tiesību akta projekta ietekme uz valsts budžetu un pašvaldību budžetiem” (turpmāk – 3.sadaļa), kur kā valsts budžeta kārtējais gads norādāms 2026. gads, attiecīgi precizējams arī anotācijas 3.sadaļas 6.punkts “Detalizēts ieņēmumu un izdevumu aprēķins (ja nepieciešams, detalizētu ieņēmumu un izdevumu aprēķinu var pievienot anotācijas (ex-ante) pielikumā)”, kur nepieciešams svītrot informāciju par 2025.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12.03.2026.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12.03.2026.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