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ziņojuma (anotācijas) 1.3.apakšpunktā ietverto tiesību aktu normu uzskaitījumu, par kuros paredzētajiem noziedzīgiem nodarījumiem un administratīvajiem pārkāpumiem komersants vai persona, kura ir komersanta valdes vai padomes loceklis vai prokūrists, vai persona, kura ir pilnvarota pārstāvēt komersantu ar filiāli saistītās darbībā (turpmāk – persona), nedrīkst būt sodīta,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norādīts, ka persona nevar būt sodīta par starpniecību kukuļošanā (Krimināllikuma 322.pants);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nav norādīts, ka persona nevar būt sodīta par krāpšanu automatizētā datu apstrādes sistēmā (Krimināllikuma 177.</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nav norādīts, ka persona nevar būt sodīta par apdrošināšanas krāpšanu (Krimināllikuma 178.pants);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nav norādīts, ka persona nevar būt sodīta par preču un vielu, kuru aprite ir aizliegta vai speciāli reglamentēta, pārvietošanu pāri Latvijas Republikas valsts robežai (Krimināllikuma 190.</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projektā nav norādīts, ka persona nevar būt sodīta par neatļautu piedalīšanos mantiskos darījumos (Krimināllikuma 326.pants);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projektā norādīts, ka persona nevar būt sodīta par informatīvo deklarāciju iesniegšanas termiņu neievērošanu, nodokļu normatīvajos aktos noteiktajā termiņā neiesniedzot par šo personu informatīvo deklarāciju par darbiniekiem, kas iesniedzama par personām, kuras uzsāk darbu (likuma “Par nodokļiem un nodevām” 142.panta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sākotnējās ietekmes (ex-ante) novērtējuma ziņojuma (anotācijas) 1.3.apakšpunktā vārdus “Sodu reģistrā” ar vārdiem “Iekšlietu ministrijas Informācijas centra pārziņā esošajā valsts informācijas sistēmā “Sodu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ziņojuma (anotācijas) 1.3.apakšpunktu, norādot Iekšlietu ministrijas Informācijas centra pārziņā esošajā valsts informācijas sistēmā “Sodu reģistrs”” ietverto ziņu saņemšanas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326.</w:t>
            </w:r>
            <w:r w:rsidR="00000000" w:rsidRPr="00000000" w:rsidDel="00000000">
              <w:rPr>
                <w:vertAlign w:val="superscript"/>
                <w:rtl w:val="0"/>
              </w:rPr>
              <w:t xml:space="preserve">2 </w:t>
            </w:r>
            <w:r w:rsidR="00000000" w:rsidRPr="00000000" w:rsidDel="00000000">
              <w:rPr>
                <w:rtl w:val="0"/>
              </w:rPr>
              <w:t xml:space="preserve">un 326.</w:t>
            </w:r>
            <w:r w:rsidR="00000000" w:rsidRPr="00000000" w:rsidDel="00000000">
              <w:rPr>
                <w:vertAlign w:val="superscript"/>
                <w:rtl w:val="0"/>
              </w:rPr>
              <w:t xml:space="preserve">3 </w:t>
            </w:r>
            <w:r w:rsidR="00000000" w:rsidRPr="00000000" w:rsidDel="00000000">
              <w:rPr>
                <w:rtl w:val="0"/>
              </w:rPr>
              <w:t xml:space="preserve">panta nosaukumā norādīto, aizstāt projekta 3.punktā ietvertajā Ministru kabineta 2022. gada 5. jūlija noteikumu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39.6.1.2.apakšpunktā vārdus "prettiesiska labuma pieprasīšana" ar vārdiem "prettiesiska labumu pieprasīšana".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39.6.1.4. izvairīšanās no nodokļu un tiem pielīdzināto maksājumu samaksas;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218.panta nosaukumā norādīto, aizstāt projekta 3.punktā ietvertajā Ministru kabineta 2022. gada 5. jūlija noteikumu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39.6.1.4.apakšpunktā vārdu "samaksas" ar vārdu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39.6.1.5. terorisms, terorisma finansēšana, teroristu grupas izveide vai organizēšana, ceļošana terorisma nolūkā, terorisma attaisnošana, aicinājums uz terorismu, terorisma draudi vai personas vervēšana un apmācība terora aktu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.panta nosaukumā norādīto, aizstāt projekta 3.punktā ietvertajā Ministru kabineta 2022. gada 5. jūlija noteikumu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39.6.1.5.apakšpunktā vārdus "personas vervēšana un apmācība terora aktu veikšanai" ar vārdiem "personas vervēšana,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16.03.2023.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16.03.2023.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Atzinumi_22-TA-3389.docx</dc:title>
</cp:coreProperties>
</file>

<file path=docProps/custom.xml><?xml version="1.0" encoding="utf-8"?>
<Properties xmlns="http://schemas.openxmlformats.org/officeDocument/2006/custom-properties" xmlns:vt="http://schemas.openxmlformats.org/officeDocument/2006/docPropsVTypes"/>
</file>