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B5D63" w14:textId="1969A650" w:rsidR="00BE6AC2" w:rsidRPr="00046EEA" w:rsidRDefault="00BE6AC2" w:rsidP="00BE6AC2">
      <w:r w:rsidRPr="00046EEA">
        <w:t xml:space="preserve">Uz </w:t>
      </w:r>
      <w:r w:rsidR="00436FA1">
        <w:t>22.07</w:t>
      </w:r>
      <w:r w:rsidR="004A76EB" w:rsidRPr="004A76EB">
        <w:t>.2021</w:t>
      </w:r>
      <w:r w:rsidR="004A76EB">
        <w:tab/>
      </w:r>
      <w:r w:rsidR="004A76EB">
        <w:tab/>
        <w:t>Nr. </w:t>
      </w:r>
      <w:r w:rsidR="00436FA1">
        <w:t>27 41</w:t>
      </w:r>
      <w:r w:rsidR="00436FA1" w:rsidRPr="00436FA1">
        <w:t>§</w:t>
      </w:r>
      <w:r w:rsidR="00436FA1">
        <w:t xml:space="preserve"> (VSS-666)</w:t>
      </w:r>
    </w:p>
    <w:p w14:paraId="26E6F4D4" w14:textId="20C041C2" w:rsidR="009C413E" w:rsidRDefault="00BE6AC2" w:rsidP="003A6934">
      <w:r w:rsidRPr="00046EEA">
        <w:t xml:space="preserve">(TM reģ. Nr. </w:t>
      </w:r>
      <w:r w:rsidR="00436FA1" w:rsidRPr="00436FA1">
        <w:t>1-9.1/2044</w:t>
      </w:r>
      <w:r w:rsidRPr="00046EEA">
        <w:t>)</w:t>
      </w:r>
    </w:p>
    <w:p w14:paraId="2233CE15" w14:textId="77777777" w:rsidR="003A6934" w:rsidRPr="003A6934" w:rsidRDefault="003A6934" w:rsidP="003A6934"/>
    <w:p w14:paraId="04905D8E" w14:textId="77777777" w:rsidR="00436FA1" w:rsidRDefault="00436FA1" w:rsidP="00436FA1">
      <w:pPr>
        <w:ind w:firstLine="720"/>
        <w:jc w:val="right"/>
        <w:rPr>
          <w:b/>
          <w:noProof/>
          <w:szCs w:val="24"/>
        </w:rPr>
      </w:pPr>
      <w:r>
        <w:rPr>
          <w:b/>
          <w:noProof/>
          <w:szCs w:val="24"/>
        </w:rPr>
        <w:t>Vides aizsardzības un reģionālās</w:t>
      </w:r>
    </w:p>
    <w:p w14:paraId="3161B514" w14:textId="77777777" w:rsidR="00436FA1" w:rsidRDefault="00436FA1" w:rsidP="00436FA1">
      <w:pPr>
        <w:ind w:firstLine="720"/>
        <w:jc w:val="right"/>
        <w:rPr>
          <w:b/>
          <w:noProof/>
          <w:szCs w:val="24"/>
        </w:rPr>
      </w:pPr>
      <w:r>
        <w:rPr>
          <w:b/>
          <w:noProof/>
          <w:szCs w:val="24"/>
        </w:rPr>
        <w:t xml:space="preserve"> attīstības </w:t>
      </w:r>
      <w:r w:rsidRPr="00DF6A44">
        <w:rPr>
          <w:b/>
          <w:noProof/>
          <w:szCs w:val="24"/>
        </w:rPr>
        <w:t>ministrijai</w:t>
      </w:r>
    </w:p>
    <w:p w14:paraId="1D89E895" w14:textId="77777777" w:rsidR="00B92175" w:rsidRPr="00B92175" w:rsidRDefault="00B92175" w:rsidP="00B92175">
      <w:pPr>
        <w:jc w:val="right"/>
        <w:rPr>
          <w:b/>
        </w:rPr>
      </w:pPr>
    </w:p>
    <w:p w14:paraId="09253764" w14:textId="77777777" w:rsidR="005E7AC0" w:rsidRPr="005E7AC0" w:rsidRDefault="005E7AC0" w:rsidP="00AF3590">
      <w:pPr>
        <w:jc w:val="right"/>
      </w:pPr>
    </w:p>
    <w:p w14:paraId="490460BC" w14:textId="7BE4E5FC" w:rsidR="00436FA1" w:rsidRDefault="004A76EB" w:rsidP="00B92175">
      <w:pPr>
        <w:rPr>
          <w:i/>
        </w:rPr>
      </w:pPr>
      <w:r w:rsidRPr="004A76EB">
        <w:rPr>
          <w:i/>
        </w:rPr>
        <w:t xml:space="preserve">Par Ministru kabineta </w:t>
      </w:r>
      <w:r w:rsidR="00436FA1">
        <w:rPr>
          <w:i/>
        </w:rPr>
        <w:t>noteikumu projekta</w:t>
      </w:r>
    </w:p>
    <w:p w14:paraId="1757DDAD" w14:textId="163D62E7" w:rsidR="00436FA1" w:rsidRDefault="00436FA1" w:rsidP="00B92175">
      <w:pPr>
        <w:rPr>
          <w:i/>
        </w:rPr>
      </w:pPr>
      <w:r>
        <w:rPr>
          <w:i/>
        </w:rPr>
        <w:t>saskaņošanu</w:t>
      </w:r>
    </w:p>
    <w:p w14:paraId="2008D61C" w14:textId="77777777" w:rsidR="004A76EB" w:rsidRPr="004A76EB" w:rsidRDefault="004A76EB" w:rsidP="00B92175">
      <w:pPr>
        <w:rPr>
          <w:iCs/>
        </w:rPr>
      </w:pPr>
    </w:p>
    <w:p w14:paraId="4B4B6D9C" w14:textId="1727EB35" w:rsidR="00406509" w:rsidRDefault="00BE6AC2" w:rsidP="005C6927">
      <w:r w:rsidRPr="00046EEA">
        <w:tab/>
        <w:t>Tieslietu ministrija</w:t>
      </w:r>
      <w:r w:rsidR="009C413E">
        <w:t xml:space="preserve"> </w:t>
      </w:r>
      <w:r w:rsidR="004A76EB">
        <w:t xml:space="preserve">ir izskatījusi </w:t>
      </w:r>
      <w:r w:rsidR="00436FA1">
        <w:t>Vides aizsardzības un reģionālās attīstības</w:t>
      </w:r>
      <w:r w:rsidR="004A76EB">
        <w:t xml:space="preserve"> ministrijas sagatavoto </w:t>
      </w:r>
      <w:r w:rsidR="004A76EB" w:rsidRPr="004A76EB">
        <w:t xml:space="preserve">Ministru kabineta </w:t>
      </w:r>
      <w:r w:rsidR="00436FA1">
        <w:t>noteikumu</w:t>
      </w:r>
      <w:r w:rsidR="004A76EB" w:rsidRPr="004A76EB">
        <w:t xml:space="preserve"> projektu “</w:t>
      </w:r>
      <w:r w:rsidR="00436FA1" w:rsidRPr="00436FA1">
        <w:t>Atlīdzības aprēķināšanas un izmaksāšanas kārtība par zemes dzīļu īpašuma tiesību aprobežojumu valsts nozīmes zemes dzīļu nogabalos</w:t>
      </w:r>
      <w:r w:rsidR="004A76EB" w:rsidRPr="004A76EB">
        <w:t>”</w:t>
      </w:r>
      <w:r w:rsidR="00436FA1">
        <w:t xml:space="preserve"> (VSS-666</w:t>
      </w:r>
      <w:r w:rsidR="008624AA">
        <w:t>; Noteikumu projekts</w:t>
      </w:r>
      <w:r w:rsidR="00436FA1">
        <w:t>) un tā</w:t>
      </w:r>
      <w:r w:rsidR="004A76EB">
        <w:t xml:space="preserve"> anotāciju un informē, </w:t>
      </w:r>
      <w:r w:rsidR="00436FA1">
        <w:t xml:space="preserve">atbalsta tā tālāku virzību izsakot šādus iebildumus: </w:t>
      </w:r>
    </w:p>
    <w:p w14:paraId="6F4076A0" w14:textId="21669F76" w:rsidR="0005007E" w:rsidRDefault="00436FA1" w:rsidP="0005007E">
      <w:r>
        <w:tab/>
      </w:r>
      <w:r w:rsidR="0005007E">
        <w:t>1. Lūdzam svītrot</w:t>
      </w:r>
      <w:r w:rsidR="008624AA">
        <w:t xml:space="preserve"> Noteikumu</w:t>
      </w:r>
      <w:r w:rsidR="0005007E">
        <w:t xml:space="preserve"> </w:t>
      </w:r>
      <w:r w:rsidR="008624AA">
        <w:t>p</w:t>
      </w:r>
      <w:r w:rsidR="0005007E">
        <w:t>rojekta 3.2. apakšpunktu. Projekta 3.2. apakšpunkts nosaka pienākumu zemes īpašniekam pieteikumam par atlīdzību pievienot izziņu par attiecīgā zemesgabala kadastrālo vērtību. Valsts zemes dienests negatavo šādu izziņu. Informāciju par zemes vienības kadastrālo vērtību iegūstama tiešsaistes režīmā datu publicēšanas portālā kadastrs.lv. Atbilstoši Valsts pārvaldes iekārtas likuma 10. panta astotajai daļai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14:paraId="5A91707A" w14:textId="63DEF37F" w:rsidR="004A76EB" w:rsidRDefault="0005007E" w:rsidP="0005007E">
      <w:pPr>
        <w:ind w:firstLine="720"/>
      </w:pPr>
      <w:r>
        <w:t xml:space="preserve">2. </w:t>
      </w:r>
      <w:r w:rsidR="008624AA">
        <w:t>Noteikumu p</w:t>
      </w:r>
      <w:r>
        <w:t>rojekta 5. punkts paredz vienreizēju atlīdzību par zemes dzīļu īpašuma tiesību aprobežojumu valsts nozīmes zemes dzīļu nogabalos aprēķināt piecu procentu apmērā no zemes platības kadastrālās vērtības, kāda tā bijusi valsts nozīmes zemes dzīļu nogabala noteikšanas brīdī. Nav saprotams, ko nozīmē vārdi "valsts nozīmes zemes dzīļu nogabala noteikšanas brīdī". Lūdzam precizēt, ko nozīmē "noteikšanas brīdis" – vai tas ir lēmuma pieņemšanas datums, tātad, vai nepieciešama aktuālā kadastrālā vērtība vai kāda vēsturiskā.</w:t>
      </w:r>
    </w:p>
    <w:p w14:paraId="36D09CBB" w14:textId="77777777" w:rsidR="008624AA" w:rsidRDefault="008624AA" w:rsidP="008624AA">
      <w:pPr>
        <w:ind w:firstLine="720"/>
      </w:pPr>
      <w:r>
        <w:t>3. Noteikumu projekta 8. punkts paredz noteikt, ka z</w:t>
      </w:r>
      <w:r w:rsidRPr="008624AA">
        <w:t>emes dzīļu izmantotājs lūdz attiecīgajai zemesgrāmatu nodaļai nostiprināt zemes dzīļu īpašnieka īpašuma tiesību aprobežojumu.</w:t>
      </w:r>
      <w:r>
        <w:t xml:space="preserve"> </w:t>
      </w:r>
    </w:p>
    <w:p w14:paraId="4DD84723" w14:textId="4C3EE8DA" w:rsidR="008624AA" w:rsidRDefault="008624AA" w:rsidP="008624AA">
      <w:pPr>
        <w:ind w:firstLine="720"/>
      </w:pPr>
      <w:r>
        <w:t>Vēršam uzmanību, ka 2019. gada 1. decembrī stājās spēkā grozījumi Zemesgrāmatu likumā, saskaņā ar kuriem tika papildināti likuma pārejas noteikumi ar 19. punktu, kas noteic, ka i</w:t>
      </w:r>
      <w:r w:rsidRPr="009D0D37">
        <w:t xml:space="preserve">zskatot nostiprinājuma lūgumu, kas saņemts pēc tam, kad stājušies spēkā grozījumi šā likuma 17. panta 1. punkta "b" apakšpunktā, rajona (pilsētas) tiesa dzēš </w:t>
      </w:r>
      <w:r w:rsidRPr="008624AA">
        <w:t>apgrūtinājumus</w:t>
      </w:r>
      <w:r w:rsidRPr="009D0D37">
        <w:t>, kuri neatbilst šā likuma 17. panta 1.</w:t>
      </w:r>
      <w:r>
        <w:t> </w:t>
      </w:r>
      <w:r w:rsidRPr="009D0D37">
        <w:t>punkta prasībām</w:t>
      </w:r>
      <w:r>
        <w:t>.</w:t>
      </w:r>
      <w:r w:rsidRPr="009D0D37">
        <w:t xml:space="preserve"> </w:t>
      </w:r>
      <w:r>
        <w:t xml:space="preserve">Zemesgrāmatu likuma 17. panta 1. punkts norāda, ka zemesgrāmatas trešajā nodalījuma pirmajā iedaļā ir ierakstāmas lietu tiesības, kas apgrūtina nekustamu īpašumu, izņemot tās, kuras jānorāda otrajā un ceturtajā daļā, kā arī </w:t>
      </w:r>
      <w:r w:rsidRPr="00792E79">
        <w:t xml:space="preserve">45. panta 4. punktā </w:t>
      </w:r>
      <w:r w:rsidRPr="00792E79">
        <w:lastRenderedPageBreak/>
        <w:t xml:space="preserve">minētās atzīmes, ja tās nodrošina </w:t>
      </w:r>
      <w:r>
        <w:t>"</w:t>
      </w:r>
      <w:r w:rsidRPr="00792E79">
        <w:t>a</w:t>
      </w:r>
      <w:r>
        <w:t>"</w:t>
      </w:r>
      <w:r w:rsidRPr="00792E79">
        <w:t xml:space="preserve"> burtā paredzēto lietu tiesību nodibināšanu, kā arī atzīmes par nekustamā īpašuma apgrūtinājumiem — ēku, ūdens lietošanas un ceļa servitūtu</w:t>
      </w:r>
      <w:r>
        <w:t>. Kā izriet no minētā likuma sākotnējās ietekmes novērtējuma ziņojuma (anotācijas), saskaņā ar minētajiem grozījumiem d</w:t>
      </w:r>
      <w:r w:rsidRPr="0062701F">
        <w:t xml:space="preserve">atorizētā zemesgrāmata uzturēs informāciju vienīgi par tiem lietu tiesību apgrūtinājumiem, kas īpašumam rodas no līguma, testamenta vai tiesas lēmuma, un kuru ierakstīšana zemesgrāmatā izriet no Civillikuma un </w:t>
      </w:r>
      <w:r w:rsidRPr="00BA0301">
        <w:rPr>
          <w:i/>
          <w:iCs/>
        </w:rPr>
        <w:t>numerus clausus</w:t>
      </w:r>
      <w:r w:rsidRPr="0062701F">
        <w:t xml:space="preserve"> principa</w:t>
      </w:r>
      <w:r>
        <w:rPr>
          <w:rStyle w:val="FootnoteReference"/>
        </w:rPr>
        <w:footnoteReference w:id="1"/>
      </w:r>
      <w:r w:rsidRPr="0062701F">
        <w:t>.</w:t>
      </w:r>
      <w:r>
        <w:t xml:space="preserve"> Šāds koncepts ir veidots, </w:t>
      </w:r>
      <w:r w:rsidRPr="008624AA">
        <w:t>lai nedublētu uz likuma pamata noteiktos apgrūtinājumus vairākās valsts uzturētās datubāzēs (Valsts vienotajā datorizētajā zemesgrāmatā, Nekustamā īpašuma valsts kadastra informācijas sistēmā, Apgrūtināto teritoriju informācijas sistēmā) un samazinātu administratīvo slogu, kas rastos</w:t>
      </w:r>
      <w:r w:rsidR="008151E4">
        <w:t>,</w:t>
      </w:r>
      <w:r w:rsidRPr="008624AA">
        <w:t xml:space="preserve"> dublējot vienādu informāciju vairākās valsts uzturētās informācijas sistēmās</w:t>
      </w:r>
      <w:r>
        <w:t>.</w:t>
      </w:r>
    </w:p>
    <w:p w14:paraId="2B711953" w14:textId="53C8C9CB" w:rsidR="008624AA" w:rsidRDefault="008624AA" w:rsidP="008624AA">
      <w:pPr>
        <w:ind w:firstLine="720"/>
      </w:pPr>
      <w:r>
        <w:t>Ievērojot minēto, kā arī ņemot vērā to, ka aprobežojuma saturs būs atkarīgs no Ministru kabineta lēmuma (tam nav viens noteikts saturs, kas izrietētu no likuma), vēršam uzmanību, ka Noteikumu projektā paredzēto aprobežojumu, visticamāk, nebūs iespējams nostiprināt zemesgrāmatā.</w:t>
      </w:r>
      <w:r w:rsidR="0098657E">
        <w:t xml:space="preserve"> Līdz ar to būtu izvērtējams jautājums par to, kur informācija par aprobežojumu būs pieejama. </w:t>
      </w:r>
    </w:p>
    <w:p w14:paraId="0BDD4FD6" w14:textId="36911780" w:rsidR="00793947" w:rsidRDefault="00793947" w:rsidP="008624AA">
      <w:pPr>
        <w:ind w:firstLine="720"/>
      </w:pPr>
      <w:r>
        <w:t>Vienlaikus Noteikumu projekta 8. punkts aktualizē jautājumu par paša Noteikumu projekta ietvaros veidoto sistēmu. T.i., veidojas stāvoklis, ka, lai arī aprobežojuma nodibināšana ir zemes dzīļu izmantotāja interesēs un tam nepieciešama, nodibināšanas iespējamība ir padarīta atkarīga no zemes īpašnieka aktīvas rīcības (tieši zemes īpašniekam ir jāvēršas pie zemes dzīļu izmantotāja). Tādējādi, zemes īpašniekam ir iespēja bloķēt aprobežojuma nodibināšanu, ja tas pēc saviem ieskatiem ir pret to</w:t>
      </w:r>
      <w:r w:rsidR="0098657E">
        <w:t xml:space="preserve"> (neiesniedzot iesniegumu par atlīdzības izmaksu)</w:t>
      </w:r>
      <w:r>
        <w:t xml:space="preserve">. </w:t>
      </w:r>
    </w:p>
    <w:p w14:paraId="24852AC3" w14:textId="08F17630" w:rsidR="00793947" w:rsidRDefault="00145D9D" w:rsidP="008624AA">
      <w:pPr>
        <w:ind w:firstLine="720"/>
      </w:pPr>
      <w:r>
        <w:t>N</w:t>
      </w:r>
      <w:r w:rsidR="00793947">
        <w:t>av skaidrs, kādēļ šāda sistēma ir nepieciešama. Ja tiek noteikts v</w:t>
      </w:r>
      <w:r w:rsidR="00793947" w:rsidRPr="00793947">
        <w:t>alsts nozīmes zemes dzīļu nogabal</w:t>
      </w:r>
      <w:r w:rsidR="00793947">
        <w:t>s, tā teritorija ir zināma. Tāpat arī ir zināma teritorija, kurā Ministru kabinets nosaka kādus aprobežojumus zemes dzīļu izmantošanai. Tādējādi jau nosakot nogabalu un tā daļas, kur būs nepieciešami aprobežojumi</w:t>
      </w:r>
      <w:r w:rsidR="0098657E">
        <w:t>,</w:t>
      </w:r>
      <w:r w:rsidR="00793947">
        <w:t xml:space="preserve"> ir zināmi nekustamie īpašumi, kurus tas skars. Ja likums šādos gadījumos paredz atlīdzības izmaksu par aprobežojuma nodibināšanu, nav skaidrs, k</w:t>
      </w:r>
      <w:r w:rsidR="0098657E">
        <w:t>ā</w:t>
      </w:r>
      <w:r w:rsidR="00793947">
        <w:t xml:space="preserve">dēļ zemes īpašniekam būtu </w:t>
      </w:r>
      <w:r w:rsidR="0098657E">
        <w:t xml:space="preserve">vēl papildus jāvēršas kaut kur atlīdzības izmaksai, ja, vismaz atbilstoši anotācijā norādītajam, tas tiks informēts un būs iesaistīts paša nogabala noteikšanas procesā. T.i., ja komunikācijai jau ir jānotiek, nav skaidrs, kādēļ ir jāveido sistēma, kas prasa komunicēt vēlreiz. </w:t>
      </w:r>
    </w:p>
    <w:p w14:paraId="298C7880" w14:textId="2B771709" w:rsidR="0098657E" w:rsidRDefault="0098657E" w:rsidP="008624AA">
      <w:pPr>
        <w:ind w:firstLine="720"/>
      </w:pPr>
      <w:r>
        <w:t xml:space="preserve">Būtu apsverams, vai nebūtu jāveido sistēma, kura neprasa papildu darbību veikšanu, kas pēc būtības ir liekas un tikai rada administratīvo slogu. T.i., ja ir zināma teritorija un zināmi nekustamie īpašumi, kas tiks skarti, un vienlaikus ir jāinformē zemes īpašnieki nogabala veidošanas procesā, ieinteresētā persona arī varētu veikt darbības, kas nepieciešamas atlīdzības izmaksai. </w:t>
      </w:r>
    </w:p>
    <w:p w14:paraId="12BB7430" w14:textId="281C2BE5" w:rsidR="00145D9D" w:rsidRDefault="00145D9D" w:rsidP="008624AA">
      <w:pPr>
        <w:ind w:firstLine="720"/>
      </w:pPr>
      <w:r>
        <w:t xml:space="preserve">Ievērojot minēto, lūdzam izvērtēt Noteikumu projekta 8. punktu, kā arī pašu Noteikumu projekta veidoto sistēmu attiecībā uz aprobežojuma nodibināšanu, tā ierakstīšanu kādā no valsts reģistriem, kā arī atlīdzības izmaksai nepieciešamo darbību veikšanu. </w:t>
      </w:r>
    </w:p>
    <w:p w14:paraId="658118D7" w14:textId="6CCE0567" w:rsidR="00572DA3" w:rsidRDefault="008624AA" w:rsidP="0005007E">
      <w:pPr>
        <w:ind w:firstLine="720"/>
      </w:pPr>
      <w:r>
        <w:t>4</w:t>
      </w:r>
      <w:r w:rsidR="00572DA3">
        <w:t>. Noteikumu projekta 9. punkts paredz noteikt: “</w:t>
      </w:r>
      <w:r w:rsidR="00572DA3" w:rsidRPr="00572DA3">
        <w:t>Ja zemes dzīļu izmantotājs un zemes īpašnieks nevar vienoties par atlīdzību vai zemes īpašnieks mēneša laikā no aprēķina saņemšanas nav devis tam piekrišanu, zemes dzīļu izmantotājs vai zemes īpašnieks var celt prasību tiesā, prasot līguma noslēgšanu.</w:t>
      </w:r>
      <w:r w:rsidR="00572DA3">
        <w:t>”</w:t>
      </w:r>
    </w:p>
    <w:p w14:paraId="701FDF61" w14:textId="09F8ACA1" w:rsidR="00572DA3" w:rsidRDefault="00572DA3" w:rsidP="0005007E">
      <w:pPr>
        <w:ind w:firstLine="720"/>
      </w:pPr>
      <w:r>
        <w:t xml:space="preserve">Vēršam uzmanību, ka prasības celšana tiesā par līguma noslēgšanu ir problemātisks koncepts, ko ir sarežģīti praksē izpildīt. Minētais izriet no tā, ka nav tādu piespiedu izpildes līdzekļu, ar kuriem nodrošināt, ka puses noslēdz līgumu, kas ir gribas akts (piespiedu kārtā nav iespējams radīt gribu). Arī no teorijas aspekta saskaņā ar Civilprocesa likuma 1. pantu puses tiesā vēršas savu aizskarto tiesību aizsardzībai. Gadījumā, kur aizskartās tiesības ir mantiska rakstura, prasījums tiesai un arī tiesas spriedums atrisina konkrēto gadījumu – konstatē tiesību esamību, to aizskaršanu un atrisina ar to saistītos mantiskos jautājumus ar sprieduma rezolutīvo daļu. </w:t>
      </w:r>
    </w:p>
    <w:p w14:paraId="7C400257" w14:textId="2D40F9A0" w:rsidR="000C7270" w:rsidRDefault="00572DA3" w:rsidP="008624AA">
      <w:pPr>
        <w:ind w:firstLine="720"/>
      </w:pPr>
      <w:r>
        <w:lastRenderedPageBreak/>
        <w:t>Ievērojot minēto, pēc būtības tiesā būtu ceļama prasība par atlīdzības izmaksu, kuru tad arī, nepieciešamības gadījumā, ir iespējams piedzīt ar piespiedu izpildes līdzekļiem. Lai potenciālos strīdus gadījumos šis jautājums neradītu konceptuālu problemātiku prasību realizācijā, normu būtu vēlams izteikt citā redakcijā. Ņemot vērā, ka tā pēc būtības ir norādes norma, iespējams, var vienkārši noradīt, ka strīdus gadījumā jautājums ir risināms vispārējās jurisdikcijas tiesā. T.i., ar normu neiejaukties jautājumā par to, kā šie strīdi ir risināmi tiesā (tad tos risinātu atbilstoši tādam regulējumam, kāds konkrētajā laikā būtu spēkā tiesību aizsardzības nodrošināšanai</w:t>
      </w:r>
      <w:r w:rsidR="000C7270">
        <w:t>)</w:t>
      </w:r>
      <w:r>
        <w:t>. Vienlaikus var apsvērt, vai šāda norma vispār ir nepieciešama, ņemot vērā, ka tiesības ir konstituētas un to aizsardzībai personai jebkurā gadījumā</w:t>
      </w:r>
      <w:r w:rsidR="00774DA1">
        <w:t xml:space="preserve"> ir tiesības vērsties tiesā. </w:t>
      </w:r>
    </w:p>
    <w:p w14:paraId="722347B6" w14:textId="2EEF786D" w:rsidR="00ED5E06" w:rsidRPr="001F32FE" w:rsidRDefault="00406509" w:rsidP="00BE6AC2">
      <w:r>
        <w:tab/>
      </w:r>
    </w:p>
    <w:p w14:paraId="26791B1F" w14:textId="77777777" w:rsidR="001250F7" w:rsidRPr="00046EEA" w:rsidRDefault="001250F7" w:rsidP="00BE6AC2">
      <w:pPr>
        <w:rPr>
          <w:szCs w:val="24"/>
        </w:rPr>
      </w:pPr>
    </w:p>
    <w:p w14:paraId="0A1F71F3" w14:textId="4767ECD3" w:rsidR="003A6934" w:rsidRDefault="00436FA1" w:rsidP="0002316A">
      <w:pPr>
        <w:ind w:right="-285"/>
        <w:rPr>
          <w:szCs w:val="26"/>
        </w:rPr>
      </w:pPr>
      <w:r>
        <w:rPr>
          <w:szCs w:val="26"/>
        </w:rPr>
        <w:t>Valsts sekretāra vietnieka</w:t>
      </w:r>
    </w:p>
    <w:p w14:paraId="2ACE23C8" w14:textId="76835A34" w:rsidR="00BE6AC2" w:rsidRPr="00046EEA" w:rsidRDefault="00436FA1" w:rsidP="0002316A">
      <w:pPr>
        <w:ind w:right="-285"/>
        <w:rPr>
          <w:szCs w:val="26"/>
        </w:rPr>
      </w:pPr>
      <w:r>
        <w:rPr>
          <w:szCs w:val="26"/>
        </w:rPr>
        <w:t xml:space="preserve">tiesību politikas jautājumos p. i. </w:t>
      </w:r>
      <w:r w:rsidR="0002316A">
        <w:rPr>
          <w:szCs w:val="26"/>
        </w:rPr>
        <w:tab/>
      </w:r>
      <w:r w:rsidR="0002316A">
        <w:rPr>
          <w:szCs w:val="26"/>
        </w:rPr>
        <w:tab/>
      </w:r>
      <w:r w:rsidR="0002316A">
        <w:rPr>
          <w:szCs w:val="26"/>
        </w:rPr>
        <w:tab/>
      </w:r>
      <w:r w:rsidR="0002316A">
        <w:rPr>
          <w:szCs w:val="26"/>
        </w:rPr>
        <w:tab/>
      </w:r>
      <w:r w:rsidR="0002316A">
        <w:rPr>
          <w:szCs w:val="26"/>
        </w:rPr>
        <w:tab/>
      </w:r>
      <w:r w:rsidR="0002316A">
        <w:rPr>
          <w:szCs w:val="26"/>
        </w:rPr>
        <w:tab/>
      </w:r>
      <w:r w:rsidR="0002316A">
        <w:rPr>
          <w:szCs w:val="26"/>
        </w:rPr>
        <w:tab/>
      </w:r>
      <w:r>
        <w:rPr>
          <w:szCs w:val="26"/>
        </w:rPr>
        <w:t xml:space="preserve"> </w:t>
      </w:r>
      <w:r w:rsidR="00145D9D">
        <w:rPr>
          <w:szCs w:val="26"/>
        </w:rPr>
        <w:t>S. Armagana</w:t>
      </w:r>
    </w:p>
    <w:p w14:paraId="413F7E7B" w14:textId="77777777" w:rsidR="00BE6AC2" w:rsidRPr="00046EEA" w:rsidRDefault="00BE6AC2" w:rsidP="00BE6AC2">
      <w:pPr>
        <w:rPr>
          <w:szCs w:val="24"/>
        </w:rPr>
      </w:pPr>
    </w:p>
    <w:p w14:paraId="3BE411D2" w14:textId="77777777" w:rsidR="00BE6AC2" w:rsidRPr="00046EEA" w:rsidRDefault="00BE6AC2" w:rsidP="00BE6AC2">
      <w:pPr>
        <w:rPr>
          <w:szCs w:val="24"/>
        </w:rPr>
      </w:pPr>
    </w:p>
    <w:p w14:paraId="4C52937A" w14:textId="58DD8317" w:rsidR="00830970" w:rsidRDefault="00BE6AC2" w:rsidP="007B3740">
      <w:pPr>
        <w:rPr>
          <w:i/>
          <w:sz w:val="20"/>
        </w:rPr>
      </w:pPr>
      <w:r w:rsidRPr="00046EEA">
        <w:rPr>
          <w:i/>
          <w:sz w:val="20"/>
        </w:rPr>
        <w:t>Dreika 67046107</w:t>
      </w:r>
    </w:p>
    <w:p w14:paraId="44FAF6FA" w14:textId="1C11A25F" w:rsidR="0005007E" w:rsidRDefault="0005007E" w:rsidP="007B3740">
      <w:pPr>
        <w:rPr>
          <w:i/>
          <w:sz w:val="20"/>
        </w:rPr>
      </w:pPr>
      <w:r w:rsidRPr="0005007E">
        <w:rPr>
          <w:i/>
          <w:sz w:val="20"/>
        </w:rPr>
        <w:t>P</w:t>
      </w:r>
      <w:r>
        <w:rPr>
          <w:i/>
          <w:sz w:val="20"/>
        </w:rPr>
        <w:t xml:space="preserve">ētersone </w:t>
      </w:r>
      <w:r w:rsidRPr="0005007E">
        <w:rPr>
          <w:i/>
          <w:sz w:val="20"/>
        </w:rPr>
        <w:t>67038652</w:t>
      </w:r>
    </w:p>
    <w:p w14:paraId="2E2734A7" w14:textId="082A4674" w:rsidR="0005007E" w:rsidRPr="001250F7" w:rsidRDefault="0005007E" w:rsidP="007B3740">
      <w:pPr>
        <w:rPr>
          <w:i/>
          <w:sz w:val="20"/>
        </w:rPr>
      </w:pPr>
      <w:r w:rsidRPr="0005007E">
        <w:rPr>
          <w:i/>
          <w:sz w:val="20"/>
        </w:rPr>
        <w:t>G</w:t>
      </w:r>
      <w:r>
        <w:rPr>
          <w:i/>
          <w:sz w:val="20"/>
        </w:rPr>
        <w:t xml:space="preserve">edroviča-Juraga </w:t>
      </w:r>
      <w:r w:rsidRPr="0005007E">
        <w:rPr>
          <w:i/>
          <w:sz w:val="20"/>
        </w:rPr>
        <w:t>67038830</w:t>
      </w:r>
    </w:p>
    <w:sectPr w:rsidR="0005007E" w:rsidRPr="001250F7" w:rsidSect="00A34ACB">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41B5A" w14:textId="77777777" w:rsidR="00CE7B8F" w:rsidRDefault="00CE7B8F">
      <w:r>
        <w:separator/>
      </w:r>
    </w:p>
  </w:endnote>
  <w:endnote w:type="continuationSeparator" w:id="0">
    <w:p w14:paraId="0A8E2CF5" w14:textId="77777777" w:rsidR="00CE7B8F" w:rsidRDefault="00CE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A62C" w14:textId="717CA3B4" w:rsidR="003201D7" w:rsidRPr="003201D7" w:rsidRDefault="003201D7" w:rsidP="003201D7">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C5547C">
      <w:rPr>
        <w:noProof/>
        <w:sz w:val="20"/>
        <w:szCs w:val="20"/>
      </w:rPr>
      <w:t>TMAtz_230821_VSS-666_VARAM</w:t>
    </w:r>
    <w:r w:rsidRPr="00122B6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C8AD" w14:textId="52110569" w:rsidR="003201D7" w:rsidRPr="003201D7" w:rsidRDefault="003201D7" w:rsidP="003201D7">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C5547C">
      <w:rPr>
        <w:noProof/>
        <w:sz w:val="20"/>
        <w:szCs w:val="20"/>
      </w:rPr>
      <w:t>TMAtz_230821_VSS-666_VARAM</w:t>
    </w:r>
    <w:r w:rsidRPr="00122B6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31749" w14:textId="77777777" w:rsidR="00CE7B8F" w:rsidRDefault="00CE7B8F">
      <w:r>
        <w:separator/>
      </w:r>
    </w:p>
  </w:footnote>
  <w:footnote w:type="continuationSeparator" w:id="0">
    <w:p w14:paraId="1087738F" w14:textId="77777777" w:rsidR="00CE7B8F" w:rsidRDefault="00CE7B8F">
      <w:r>
        <w:continuationSeparator/>
      </w:r>
    </w:p>
  </w:footnote>
  <w:footnote w:id="1">
    <w:p w14:paraId="66FDB38C" w14:textId="77777777" w:rsidR="008624AA" w:rsidRDefault="008624AA" w:rsidP="008624AA">
      <w:pPr>
        <w:pStyle w:val="FootnoteText"/>
        <w:jc w:val="left"/>
      </w:pPr>
      <w:r>
        <w:rPr>
          <w:rStyle w:val="FootnoteReference"/>
        </w:rPr>
        <w:footnoteRef/>
      </w:r>
      <w:r>
        <w:t>Likuma</w:t>
      </w:r>
      <w:r w:rsidRPr="00CE2011">
        <w:t xml:space="preserve"> "Grozījumi Zemesgrāmatu likumā" </w:t>
      </w:r>
      <w:r>
        <w:t xml:space="preserve">(stājās spēkā 2019.gada 1.decembrī) </w:t>
      </w:r>
      <w:r w:rsidRPr="00A23F19">
        <w:t>sākotnējās ietekmes novērtējuma ziņojums (anotācija)</w:t>
      </w:r>
      <w:r>
        <w:t xml:space="preserve">:  </w:t>
      </w:r>
      <w:hyperlink r:id="rId1" w:history="1">
        <w:r w:rsidRPr="0061074A">
          <w:rPr>
            <w:rStyle w:val="Hyperlink"/>
          </w:rPr>
          <w:t>http://titania.saeima.lv/LIVS12/SaeimaLIVS12.nsf/0/1556843062A49764C2258232004B38C6?OpenDocument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C52937F" w14:textId="77777777" w:rsidR="008D4A3A" w:rsidRDefault="008D4A3A">
        <w:pPr>
          <w:pStyle w:val="Header"/>
          <w:jc w:val="center"/>
        </w:pPr>
        <w:r>
          <w:fldChar w:fldCharType="begin"/>
        </w:r>
        <w:r>
          <w:instrText>PAGE   \* MERGEFORMAT</w:instrText>
        </w:r>
        <w:r>
          <w:fldChar w:fldCharType="separate"/>
        </w:r>
        <w:r>
          <w:rPr>
            <w:noProof/>
          </w:rPr>
          <w:t>5</w:t>
        </w:r>
        <w:r>
          <w:fldChar w:fldCharType="end"/>
        </w:r>
      </w:p>
    </w:sdtContent>
  </w:sdt>
  <w:p w14:paraId="4C529380" w14:textId="77777777" w:rsidR="008D4A3A" w:rsidRDefault="008D4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9381" w14:textId="77777777" w:rsidR="008D4A3A" w:rsidRDefault="008D4A3A" w:rsidP="00A34ACB">
    <w:pPr>
      <w:pStyle w:val="Header"/>
    </w:pPr>
  </w:p>
  <w:p w14:paraId="4C529382" w14:textId="77777777" w:rsidR="008D4A3A" w:rsidRDefault="008D4A3A" w:rsidP="00A34ACB">
    <w:pPr>
      <w:pStyle w:val="Header"/>
    </w:pPr>
    <w:r>
      <w:rPr>
        <w:noProof/>
        <w:lang w:val="en-US"/>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29383" w14:textId="77777777" w:rsidR="008D4A3A" w:rsidRDefault="008D4A3A" w:rsidP="00A34ACB">
    <w:pPr>
      <w:pStyle w:val="Header"/>
    </w:pPr>
  </w:p>
  <w:p w14:paraId="4C529384" w14:textId="77777777" w:rsidR="008D4A3A" w:rsidRDefault="008D4A3A" w:rsidP="00A34ACB">
    <w:pPr>
      <w:pStyle w:val="Header"/>
    </w:pPr>
  </w:p>
  <w:p w14:paraId="4C529385" w14:textId="77777777" w:rsidR="008D4A3A" w:rsidRDefault="008D4A3A" w:rsidP="00A34ACB">
    <w:pPr>
      <w:pStyle w:val="Header"/>
    </w:pPr>
  </w:p>
  <w:p w14:paraId="4C529386" w14:textId="77777777" w:rsidR="008D4A3A" w:rsidRDefault="008D4A3A" w:rsidP="00A34ACB">
    <w:pPr>
      <w:pStyle w:val="Header"/>
    </w:pPr>
  </w:p>
  <w:p w14:paraId="4C529387" w14:textId="77777777" w:rsidR="008D4A3A" w:rsidRDefault="008D4A3A" w:rsidP="00A34ACB">
    <w:pPr>
      <w:pStyle w:val="Header"/>
    </w:pPr>
  </w:p>
  <w:p w14:paraId="4C529388" w14:textId="77777777" w:rsidR="008D4A3A" w:rsidRDefault="008D4A3A" w:rsidP="00A34ACB">
    <w:pPr>
      <w:pStyle w:val="Header"/>
    </w:pPr>
  </w:p>
  <w:p w14:paraId="4C529389" w14:textId="77777777" w:rsidR="008D4A3A" w:rsidRDefault="008D4A3A" w:rsidP="00A34ACB">
    <w:pPr>
      <w:pStyle w:val="Header"/>
    </w:pPr>
  </w:p>
  <w:p w14:paraId="4C52938A" w14:textId="77777777" w:rsidR="008D4A3A" w:rsidRDefault="008D4A3A" w:rsidP="00A34ACB">
    <w:pPr>
      <w:pStyle w:val="Header"/>
    </w:pPr>
  </w:p>
  <w:p w14:paraId="4C52938B" w14:textId="77777777" w:rsidR="008D4A3A" w:rsidRPr="00815277" w:rsidRDefault="008D4A3A" w:rsidP="00A34ACB">
    <w:pPr>
      <w:pStyle w:val="Header"/>
    </w:pPr>
    <w:r>
      <w:rPr>
        <w:noProof/>
        <w:lang w:val="en-US"/>
      </w:rPr>
      <mc:AlternateContent>
        <mc:Choice Requires="wps">
          <w:drawing>
            <wp:anchor distT="0" distB="0" distL="114300" distR="114300" simplePos="0" relativeHeight="251658752" behindDoc="1" locked="0" layoutInCell="1" allowOverlap="1" wp14:anchorId="4C529395" wp14:editId="4C529396">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29399" w14:textId="77777777" w:rsidR="008D4A3A" w:rsidRPr="006C6018" w:rsidRDefault="008D4A3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4C52939A" w14:textId="25B7562D" w:rsidR="008D4A3A" w:rsidRPr="006C6018" w:rsidRDefault="008D4A3A"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EA10AB">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4C529399" w14:textId="77777777" w:rsidR="008D4A3A" w:rsidRPr="006C6018" w:rsidRDefault="008D4A3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4C52939A" w14:textId="25B7562D" w:rsidR="008D4A3A" w:rsidRPr="006C6018" w:rsidRDefault="008D4A3A"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EA10AB">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val="en-US"/>
      </w:rPr>
      <mc:AlternateContent>
        <mc:Choice Requires="wpg">
          <w:drawing>
            <wp:anchor distT="0" distB="0" distL="114300" distR="114300" simplePos="0" relativeHeight="251657728" behindDoc="1" locked="0" layoutInCell="1" allowOverlap="1" wp14:anchorId="4C529397" wp14:editId="4C529398">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08905292">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4C52938C" w14:textId="77777777" w:rsidR="008D4A3A" w:rsidRPr="00C836FF" w:rsidRDefault="008D4A3A" w:rsidP="00AB4E8A">
    <w:pPr>
      <w:jc w:val="center"/>
      <w:rPr>
        <w:szCs w:val="24"/>
      </w:rPr>
    </w:pPr>
    <w:r w:rsidRPr="00C836FF">
      <w:rPr>
        <w:szCs w:val="24"/>
      </w:rPr>
      <w:t>Rīgā</w:t>
    </w:r>
  </w:p>
  <w:p w14:paraId="4C52938D" w14:textId="77777777" w:rsidR="008D4A3A" w:rsidRPr="00C836FF" w:rsidRDefault="008D4A3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A10AB" w14:paraId="54B39EC4" w14:textId="77777777" w:rsidTr="007D1A60">
      <w:tc>
        <w:tcPr>
          <w:tcW w:w="1810" w:type="dxa"/>
        </w:tcPr>
        <w:p w14:paraId="30C9D893" w14:textId="77777777" w:rsidR="00EA10AB" w:rsidRDefault="00EA10AB" w:rsidP="00EA10AB">
          <w:pPr>
            <w:pStyle w:val="Header"/>
            <w:jc w:val="center"/>
            <w:rPr>
              <w:szCs w:val="24"/>
            </w:rPr>
          </w:pPr>
          <w:r>
            <w:t>23.08.2021</w:t>
          </w:r>
          <w:r>
            <w:rPr>
              <w:szCs w:val="24"/>
            </w:rPr>
            <w:t>.</w:t>
          </w:r>
        </w:p>
      </w:tc>
      <w:tc>
        <w:tcPr>
          <w:tcW w:w="420" w:type="dxa"/>
          <w:tcBorders>
            <w:bottom w:val="nil"/>
          </w:tcBorders>
        </w:tcPr>
        <w:p w14:paraId="4A864F80" w14:textId="77777777" w:rsidR="00EA10AB" w:rsidRDefault="00EA10AB" w:rsidP="00EA10AB">
          <w:pPr>
            <w:pStyle w:val="Header"/>
            <w:rPr>
              <w:szCs w:val="24"/>
            </w:rPr>
          </w:pPr>
          <w:r>
            <w:rPr>
              <w:szCs w:val="24"/>
            </w:rPr>
            <w:t xml:space="preserve"> Nr.</w:t>
          </w:r>
        </w:p>
      </w:tc>
      <w:tc>
        <w:tcPr>
          <w:tcW w:w="1890" w:type="dxa"/>
        </w:tcPr>
        <w:p w14:paraId="1DA4C203" w14:textId="77777777" w:rsidR="00EA10AB" w:rsidRDefault="00EA10AB" w:rsidP="00EA10AB">
          <w:pPr>
            <w:pStyle w:val="Header"/>
            <w:jc w:val="center"/>
            <w:rPr>
              <w:szCs w:val="24"/>
            </w:rPr>
          </w:pPr>
          <w:r>
            <w:t>1-9.1/916</w:t>
          </w:r>
        </w:p>
      </w:tc>
    </w:tr>
  </w:tbl>
  <w:p w14:paraId="4C529392" w14:textId="77777777" w:rsidR="008D4A3A" w:rsidRPr="000B1FEC" w:rsidRDefault="008D4A3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2A471BF"/>
    <w:multiLevelType w:val="hybridMultilevel"/>
    <w:tmpl w:val="2C32EC96"/>
    <w:lvl w:ilvl="0" w:tplc="AA02BA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3067123"/>
    <w:multiLevelType w:val="hybridMultilevel"/>
    <w:tmpl w:val="06704B98"/>
    <w:lvl w:ilvl="0" w:tplc="09C8B53A">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6637AF9"/>
    <w:multiLevelType w:val="hybridMultilevel"/>
    <w:tmpl w:val="1CAE9C26"/>
    <w:lvl w:ilvl="0" w:tplc="E5208754">
      <w:start w:val="1"/>
      <w:numFmt w:val="decimal"/>
      <w:lvlText w:val="%1."/>
      <w:lvlJc w:val="left"/>
      <w:pPr>
        <w:ind w:left="1200" w:hanging="4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5D53A6"/>
    <w:multiLevelType w:val="hybridMultilevel"/>
    <w:tmpl w:val="EA846A68"/>
    <w:lvl w:ilvl="0" w:tplc="345AB2F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73682385"/>
    <w:multiLevelType w:val="hybridMultilevel"/>
    <w:tmpl w:val="F9F6DEDA"/>
    <w:lvl w:ilvl="0" w:tplc="B660200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76415B70"/>
    <w:multiLevelType w:val="hybridMultilevel"/>
    <w:tmpl w:val="E36E958A"/>
    <w:lvl w:ilvl="0" w:tplc="028051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4"/>
  </w:num>
  <w:num w:numId="14">
    <w:abstractNumId w:val="16"/>
  </w:num>
  <w:num w:numId="15">
    <w:abstractNumId w:val="11"/>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316A"/>
    <w:rsid w:val="00030349"/>
    <w:rsid w:val="00046EEA"/>
    <w:rsid w:val="0005007E"/>
    <w:rsid w:val="000522DA"/>
    <w:rsid w:val="00054553"/>
    <w:rsid w:val="000648ED"/>
    <w:rsid w:val="00083614"/>
    <w:rsid w:val="00083B87"/>
    <w:rsid w:val="00087E9A"/>
    <w:rsid w:val="00091ABD"/>
    <w:rsid w:val="000942A0"/>
    <w:rsid w:val="000B0F60"/>
    <w:rsid w:val="000B1FEC"/>
    <w:rsid w:val="000C7270"/>
    <w:rsid w:val="000E2C21"/>
    <w:rsid w:val="000E5D06"/>
    <w:rsid w:val="000E7F03"/>
    <w:rsid w:val="00104CB9"/>
    <w:rsid w:val="00116CEA"/>
    <w:rsid w:val="00124173"/>
    <w:rsid w:val="001250F7"/>
    <w:rsid w:val="00126E3E"/>
    <w:rsid w:val="00145D9D"/>
    <w:rsid w:val="00163650"/>
    <w:rsid w:val="001877B8"/>
    <w:rsid w:val="001A1912"/>
    <w:rsid w:val="001A525F"/>
    <w:rsid w:val="001A786A"/>
    <w:rsid w:val="001F32FE"/>
    <w:rsid w:val="00205A1B"/>
    <w:rsid w:val="002200AB"/>
    <w:rsid w:val="00227214"/>
    <w:rsid w:val="00243993"/>
    <w:rsid w:val="00264DC3"/>
    <w:rsid w:val="002708DD"/>
    <w:rsid w:val="002750FB"/>
    <w:rsid w:val="00275B9E"/>
    <w:rsid w:val="002B3077"/>
    <w:rsid w:val="002C1CAD"/>
    <w:rsid w:val="002D75C1"/>
    <w:rsid w:val="002E1474"/>
    <w:rsid w:val="003075DE"/>
    <w:rsid w:val="00310CF7"/>
    <w:rsid w:val="00316814"/>
    <w:rsid w:val="003201D7"/>
    <w:rsid w:val="003210FA"/>
    <w:rsid w:val="003213CF"/>
    <w:rsid w:val="00324CC7"/>
    <w:rsid w:val="00334F18"/>
    <w:rsid w:val="00335032"/>
    <w:rsid w:val="0035181F"/>
    <w:rsid w:val="003574F9"/>
    <w:rsid w:val="00376212"/>
    <w:rsid w:val="003850AD"/>
    <w:rsid w:val="0039739B"/>
    <w:rsid w:val="003A3D22"/>
    <w:rsid w:val="003A6934"/>
    <w:rsid w:val="003C022F"/>
    <w:rsid w:val="003C1A0B"/>
    <w:rsid w:val="003D28EE"/>
    <w:rsid w:val="003E7BDD"/>
    <w:rsid w:val="0040172D"/>
    <w:rsid w:val="00406509"/>
    <w:rsid w:val="00410DC6"/>
    <w:rsid w:val="004201BA"/>
    <w:rsid w:val="00434B6C"/>
    <w:rsid w:val="004364F2"/>
    <w:rsid w:val="00436FA1"/>
    <w:rsid w:val="00441F52"/>
    <w:rsid w:val="004573FE"/>
    <w:rsid w:val="00463274"/>
    <w:rsid w:val="00476044"/>
    <w:rsid w:val="004777E6"/>
    <w:rsid w:val="00487918"/>
    <w:rsid w:val="00493308"/>
    <w:rsid w:val="004A76EB"/>
    <w:rsid w:val="004C0B9E"/>
    <w:rsid w:val="004F150B"/>
    <w:rsid w:val="005263D4"/>
    <w:rsid w:val="00535564"/>
    <w:rsid w:val="00556B3D"/>
    <w:rsid w:val="005653E4"/>
    <w:rsid w:val="00572DA3"/>
    <w:rsid w:val="00573A84"/>
    <w:rsid w:val="00586AA8"/>
    <w:rsid w:val="00586DE6"/>
    <w:rsid w:val="0059623C"/>
    <w:rsid w:val="005C2DB8"/>
    <w:rsid w:val="005C3A04"/>
    <w:rsid w:val="005C4A08"/>
    <w:rsid w:val="005C6927"/>
    <w:rsid w:val="005E47BB"/>
    <w:rsid w:val="005E672B"/>
    <w:rsid w:val="005E7AC0"/>
    <w:rsid w:val="006152B9"/>
    <w:rsid w:val="00632456"/>
    <w:rsid w:val="00646B80"/>
    <w:rsid w:val="00663C3A"/>
    <w:rsid w:val="006816CD"/>
    <w:rsid w:val="00685D37"/>
    <w:rsid w:val="006B393D"/>
    <w:rsid w:val="006C1639"/>
    <w:rsid w:val="006C6018"/>
    <w:rsid w:val="006D25D7"/>
    <w:rsid w:val="007113CE"/>
    <w:rsid w:val="00724328"/>
    <w:rsid w:val="00724680"/>
    <w:rsid w:val="00726E06"/>
    <w:rsid w:val="00727CA7"/>
    <w:rsid w:val="007324EA"/>
    <w:rsid w:val="00734FAA"/>
    <w:rsid w:val="00747CCB"/>
    <w:rsid w:val="00754FF6"/>
    <w:rsid w:val="007701FF"/>
    <w:rsid w:val="007704BD"/>
    <w:rsid w:val="00774DA1"/>
    <w:rsid w:val="007765DC"/>
    <w:rsid w:val="00781661"/>
    <w:rsid w:val="00783609"/>
    <w:rsid w:val="00793947"/>
    <w:rsid w:val="00796ECA"/>
    <w:rsid w:val="007A5916"/>
    <w:rsid w:val="007B3740"/>
    <w:rsid w:val="007B3BA5"/>
    <w:rsid w:val="007B437C"/>
    <w:rsid w:val="007B48EC"/>
    <w:rsid w:val="007C37C1"/>
    <w:rsid w:val="007D3125"/>
    <w:rsid w:val="007E0D0E"/>
    <w:rsid w:val="007E4683"/>
    <w:rsid w:val="007E4AAB"/>
    <w:rsid w:val="007E4D1F"/>
    <w:rsid w:val="00804C5A"/>
    <w:rsid w:val="008151E4"/>
    <w:rsid w:val="00815277"/>
    <w:rsid w:val="00816499"/>
    <w:rsid w:val="00830970"/>
    <w:rsid w:val="00846928"/>
    <w:rsid w:val="008560DE"/>
    <w:rsid w:val="0085768D"/>
    <w:rsid w:val="0086118C"/>
    <w:rsid w:val="008624AA"/>
    <w:rsid w:val="0087450D"/>
    <w:rsid w:val="00876C21"/>
    <w:rsid w:val="00883533"/>
    <w:rsid w:val="008A679D"/>
    <w:rsid w:val="008C0FD8"/>
    <w:rsid w:val="008C583D"/>
    <w:rsid w:val="008D4A3A"/>
    <w:rsid w:val="008D5860"/>
    <w:rsid w:val="008E3CED"/>
    <w:rsid w:val="009074F1"/>
    <w:rsid w:val="00916A20"/>
    <w:rsid w:val="009213AC"/>
    <w:rsid w:val="00930C80"/>
    <w:rsid w:val="00951B7B"/>
    <w:rsid w:val="00954D5A"/>
    <w:rsid w:val="00954DF0"/>
    <w:rsid w:val="0096173B"/>
    <w:rsid w:val="0096342D"/>
    <w:rsid w:val="0098657E"/>
    <w:rsid w:val="00996987"/>
    <w:rsid w:val="009A03DF"/>
    <w:rsid w:val="009C413E"/>
    <w:rsid w:val="009C4E32"/>
    <w:rsid w:val="009D0344"/>
    <w:rsid w:val="009D6B6A"/>
    <w:rsid w:val="009D6C66"/>
    <w:rsid w:val="00A34ACB"/>
    <w:rsid w:val="00A45501"/>
    <w:rsid w:val="00A46C8E"/>
    <w:rsid w:val="00A83E5A"/>
    <w:rsid w:val="00A869E9"/>
    <w:rsid w:val="00AA1C3C"/>
    <w:rsid w:val="00AB4E8A"/>
    <w:rsid w:val="00AC23FA"/>
    <w:rsid w:val="00AC270F"/>
    <w:rsid w:val="00AE5B7D"/>
    <w:rsid w:val="00AF10A5"/>
    <w:rsid w:val="00AF3590"/>
    <w:rsid w:val="00B30E25"/>
    <w:rsid w:val="00B36146"/>
    <w:rsid w:val="00B47DA0"/>
    <w:rsid w:val="00B60AF3"/>
    <w:rsid w:val="00B82B60"/>
    <w:rsid w:val="00B85621"/>
    <w:rsid w:val="00B86911"/>
    <w:rsid w:val="00B92175"/>
    <w:rsid w:val="00BA0DCD"/>
    <w:rsid w:val="00BB087F"/>
    <w:rsid w:val="00BB2F54"/>
    <w:rsid w:val="00BD2848"/>
    <w:rsid w:val="00BD4352"/>
    <w:rsid w:val="00BE0B33"/>
    <w:rsid w:val="00BE657B"/>
    <w:rsid w:val="00BE6AC2"/>
    <w:rsid w:val="00C04896"/>
    <w:rsid w:val="00C235E9"/>
    <w:rsid w:val="00C255D9"/>
    <w:rsid w:val="00C27935"/>
    <w:rsid w:val="00C44386"/>
    <w:rsid w:val="00C47F57"/>
    <w:rsid w:val="00C5547C"/>
    <w:rsid w:val="00C659C9"/>
    <w:rsid w:val="00C836FF"/>
    <w:rsid w:val="00C8444A"/>
    <w:rsid w:val="00CA1E62"/>
    <w:rsid w:val="00CB004E"/>
    <w:rsid w:val="00CB0D33"/>
    <w:rsid w:val="00CC3772"/>
    <w:rsid w:val="00CE2725"/>
    <w:rsid w:val="00CE7B8F"/>
    <w:rsid w:val="00CF0967"/>
    <w:rsid w:val="00D0690B"/>
    <w:rsid w:val="00D15A46"/>
    <w:rsid w:val="00D21FA6"/>
    <w:rsid w:val="00D507B4"/>
    <w:rsid w:val="00D55B4B"/>
    <w:rsid w:val="00D703AD"/>
    <w:rsid w:val="00D803E1"/>
    <w:rsid w:val="00D81F78"/>
    <w:rsid w:val="00D84FC0"/>
    <w:rsid w:val="00DA4633"/>
    <w:rsid w:val="00DB776D"/>
    <w:rsid w:val="00E05302"/>
    <w:rsid w:val="00E11DA3"/>
    <w:rsid w:val="00E12C6D"/>
    <w:rsid w:val="00E12E36"/>
    <w:rsid w:val="00E14B71"/>
    <w:rsid w:val="00E16E33"/>
    <w:rsid w:val="00E34E5B"/>
    <w:rsid w:val="00E36068"/>
    <w:rsid w:val="00E365CE"/>
    <w:rsid w:val="00E40434"/>
    <w:rsid w:val="00E42CEA"/>
    <w:rsid w:val="00E44743"/>
    <w:rsid w:val="00E47013"/>
    <w:rsid w:val="00E602E4"/>
    <w:rsid w:val="00E762D5"/>
    <w:rsid w:val="00E76648"/>
    <w:rsid w:val="00E77E12"/>
    <w:rsid w:val="00EA10AB"/>
    <w:rsid w:val="00EC3533"/>
    <w:rsid w:val="00EC631E"/>
    <w:rsid w:val="00EC6DB5"/>
    <w:rsid w:val="00ED4C8F"/>
    <w:rsid w:val="00ED5E06"/>
    <w:rsid w:val="00F00C13"/>
    <w:rsid w:val="00F078F0"/>
    <w:rsid w:val="00F13288"/>
    <w:rsid w:val="00F60586"/>
    <w:rsid w:val="00F7133E"/>
    <w:rsid w:val="00F97678"/>
    <w:rsid w:val="00FB5FEA"/>
    <w:rsid w:val="00FC58BB"/>
    <w:rsid w:val="00FC5BF2"/>
    <w:rsid w:val="00FC749D"/>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529378"/>
  <w15:docId w15:val="{E778E369-68C0-4CEF-8974-D325B2CA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Normal"/>
    <w:link w:val="FootnoteTextChar"/>
    <w:uiPriority w:val="99"/>
    <w:unhideWhenUsed/>
    <w:rsid w:val="00BE6AC2"/>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
    <w:basedOn w:val="DefaultParagraphFont"/>
    <w:link w:val="FootnoteText"/>
    <w:uiPriority w:val="99"/>
    <w:rsid w:val="00BE6AC2"/>
    <w:rPr>
      <w:rFonts w:ascii="Times New Roman" w:hAnsi="Times New Roman"/>
      <w:lang w:eastAsia="en-US"/>
    </w:rPr>
  </w:style>
  <w:style w:type="character" w:styleId="FootnoteReference">
    <w:name w:val="footnote reference"/>
    <w:basedOn w:val="DefaultParagraphFont"/>
    <w:uiPriority w:val="99"/>
    <w:unhideWhenUsed/>
    <w:rsid w:val="00BE6AC2"/>
    <w:rPr>
      <w:vertAlign w:val="superscript"/>
    </w:rPr>
  </w:style>
  <w:style w:type="character" w:customStyle="1" w:styleId="Neatrisintapieminana1">
    <w:name w:val="Neatrisināta pieminēšana1"/>
    <w:basedOn w:val="DefaultParagraphFont"/>
    <w:uiPriority w:val="99"/>
    <w:semiHidden/>
    <w:unhideWhenUsed/>
    <w:rsid w:val="00BE6AC2"/>
    <w:rPr>
      <w:color w:val="605E5C"/>
      <w:shd w:val="clear" w:color="auto" w:fill="E1DFDD"/>
    </w:rPr>
  </w:style>
  <w:style w:type="character" w:styleId="UnresolvedMention">
    <w:name w:val="Unresolved Mention"/>
    <w:basedOn w:val="DefaultParagraphFont"/>
    <w:uiPriority w:val="99"/>
    <w:semiHidden/>
    <w:unhideWhenUsed/>
    <w:rsid w:val="00B36146"/>
    <w:rPr>
      <w:color w:val="605E5C"/>
      <w:shd w:val="clear" w:color="auto" w:fill="E1DFDD"/>
    </w:rPr>
  </w:style>
  <w:style w:type="paragraph" w:styleId="ListParagraph">
    <w:name w:val="List Paragraph"/>
    <w:basedOn w:val="Normal"/>
    <w:uiPriority w:val="34"/>
    <w:qFormat/>
    <w:rsid w:val="000E5D06"/>
    <w:pPr>
      <w:ind w:left="720"/>
      <w:contextualSpacing/>
    </w:pPr>
  </w:style>
  <w:style w:type="character" w:customStyle="1" w:styleId="naisfChar">
    <w:name w:val="naisf Char"/>
    <w:basedOn w:val="DefaultParagraphFont"/>
    <w:link w:val="naisf"/>
    <w:locked/>
    <w:rsid w:val="008D4A3A"/>
    <w:rPr>
      <w:rFonts w:ascii="Times New Roman" w:hAnsi="Times New Roman"/>
      <w:sz w:val="24"/>
      <w:szCs w:val="24"/>
    </w:rPr>
  </w:style>
  <w:style w:type="paragraph" w:customStyle="1" w:styleId="naisf">
    <w:name w:val="naisf"/>
    <w:basedOn w:val="Normal"/>
    <w:link w:val="naisfChar"/>
    <w:rsid w:val="008D4A3A"/>
    <w:pPr>
      <w:widowControl/>
      <w:spacing w:before="75" w:after="75"/>
      <w:ind w:firstLine="375"/>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7082">
      <w:bodyDiv w:val="1"/>
      <w:marLeft w:val="0"/>
      <w:marRight w:val="0"/>
      <w:marTop w:val="0"/>
      <w:marBottom w:val="0"/>
      <w:divBdr>
        <w:top w:val="none" w:sz="0" w:space="0" w:color="auto"/>
        <w:left w:val="none" w:sz="0" w:space="0" w:color="auto"/>
        <w:bottom w:val="none" w:sz="0" w:space="0" w:color="auto"/>
        <w:right w:val="none" w:sz="0" w:space="0" w:color="auto"/>
      </w:divBdr>
    </w:div>
    <w:div w:id="418986512">
      <w:bodyDiv w:val="1"/>
      <w:marLeft w:val="0"/>
      <w:marRight w:val="0"/>
      <w:marTop w:val="0"/>
      <w:marBottom w:val="0"/>
      <w:divBdr>
        <w:top w:val="none" w:sz="0" w:space="0" w:color="auto"/>
        <w:left w:val="none" w:sz="0" w:space="0" w:color="auto"/>
        <w:bottom w:val="none" w:sz="0" w:space="0" w:color="auto"/>
        <w:right w:val="none" w:sz="0" w:space="0" w:color="auto"/>
      </w:divBdr>
    </w:div>
    <w:div w:id="466706381">
      <w:bodyDiv w:val="1"/>
      <w:marLeft w:val="0"/>
      <w:marRight w:val="0"/>
      <w:marTop w:val="0"/>
      <w:marBottom w:val="0"/>
      <w:divBdr>
        <w:top w:val="none" w:sz="0" w:space="0" w:color="auto"/>
        <w:left w:val="none" w:sz="0" w:space="0" w:color="auto"/>
        <w:bottom w:val="none" w:sz="0" w:space="0" w:color="auto"/>
        <w:right w:val="none" w:sz="0" w:space="0" w:color="auto"/>
      </w:divBdr>
    </w:div>
    <w:div w:id="507327185">
      <w:bodyDiv w:val="1"/>
      <w:marLeft w:val="0"/>
      <w:marRight w:val="0"/>
      <w:marTop w:val="0"/>
      <w:marBottom w:val="0"/>
      <w:divBdr>
        <w:top w:val="none" w:sz="0" w:space="0" w:color="auto"/>
        <w:left w:val="none" w:sz="0" w:space="0" w:color="auto"/>
        <w:bottom w:val="none" w:sz="0" w:space="0" w:color="auto"/>
        <w:right w:val="none" w:sz="0" w:space="0" w:color="auto"/>
      </w:divBdr>
    </w:div>
    <w:div w:id="548995555">
      <w:bodyDiv w:val="1"/>
      <w:marLeft w:val="0"/>
      <w:marRight w:val="0"/>
      <w:marTop w:val="0"/>
      <w:marBottom w:val="0"/>
      <w:divBdr>
        <w:top w:val="none" w:sz="0" w:space="0" w:color="auto"/>
        <w:left w:val="none" w:sz="0" w:space="0" w:color="auto"/>
        <w:bottom w:val="none" w:sz="0" w:space="0" w:color="auto"/>
        <w:right w:val="none" w:sz="0" w:space="0" w:color="auto"/>
      </w:divBdr>
    </w:div>
    <w:div w:id="610821382">
      <w:bodyDiv w:val="1"/>
      <w:marLeft w:val="0"/>
      <w:marRight w:val="0"/>
      <w:marTop w:val="0"/>
      <w:marBottom w:val="0"/>
      <w:divBdr>
        <w:top w:val="none" w:sz="0" w:space="0" w:color="auto"/>
        <w:left w:val="none" w:sz="0" w:space="0" w:color="auto"/>
        <w:bottom w:val="none" w:sz="0" w:space="0" w:color="auto"/>
        <w:right w:val="none" w:sz="0" w:space="0" w:color="auto"/>
      </w:divBdr>
    </w:div>
    <w:div w:id="770511929">
      <w:bodyDiv w:val="1"/>
      <w:marLeft w:val="0"/>
      <w:marRight w:val="0"/>
      <w:marTop w:val="0"/>
      <w:marBottom w:val="0"/>
      <w:divBdr>
        <w:top w:val="none" w:sz="0" w:space="0" w:color="auto"/>
        <w:left w:val="none" w:sz="0" w:space="0" w:color="auto"/>
        <w:bottom w:val="none" w:sz="0" w:space="0" w:color="auto"/>
        <w:right w:val="none" w:sz="0" w:space="0" w:color="auto"/>
      </w:divBdr>
    </w:div>
    <w:div w:id="912466235">
      <w:bodyDiv w:val="1"/>
      <w:marLeft w:val="0"/>
      <w:marRight w:val="0"/>
      <w:marTop w:val="0"/>
      <w:marBottom w:val="0"/>
      <w:divBdr>
        <w:top w:val="none" w:sz="0" w:space="0" w:color="auto"/>
        <w:left w:val="none" w:sz="0" w:space="0" w:color="auto"/>
        <w:bottom w:val="none" w:sz="0" w:space="0" w:color="auto"/>
        <w:right w:val="none" w:sz="0" w:space="0" w:color="auto"/>
      </w:divBdr>
    </w:div>
    <w:div w:id="1016886723">
      <w:bodyDiv w:val="1"/>
      <w:marLeft w:val="0"/>
      <w:marRight w:val="0"/>
      <w:marTop w:val="0"/>
      <w:marBottom w:val="0"/>
      <w:divBdr>
        <w:top w:val="none" w:sz="0" w:space="0" w:color="auto"/>
        <w:left w:val="none" w:sz="0" w:space="0" w:color="auto"/>
        <w:bottom w:val="none" w:sz="0" w:space="0" w:color="auto"/>
        <w:right w:val="none" w:sz="0" w:space="0" w:color="auto"/>
      </w:divBdr>
    </w:div>
    <w:div w:id="1068069438">
      <w:bodyDiv w:val="1"/>
      <w:marLeft w:val="0"/>
      <w:marRight w:val="0"/>
      <w:marTop w:val="0"/>
      <w:marBottom w:val="0"/>
      <w:divBdr>
        <w:top w:val="none" w:sz="0" w:space="0" w:color="auto"/>
        <w:left w:val="none" w:sz="0" w:space="0" w:color="auto"/>
        <w:bottom w:val="none" w:sz="0" w:space="0" w:color="auto"/>
        <w:right w:val="none" w:sz="0" w:space="0" w:color="auto"/>
      </w:divBdr>
      <w:divsChild>
        <w:div w:id="1314025358">
          <w:marLeft w:val="0"/>
          <w:marRight w:val="0"/>
          <w:marTop w:val="0"/>
          <w:marBottom w:val="0"/>
          <w:divBdr>
            <w:top w:val="none" w:sz="0" w:space="0" w:color="auto"/>
            <w:left w:val="none" w:sz="0" w:space="0" w:color="auto"/>
            <w:bottom w:val="none" w:sz="0" w:space="0" w:color="auto"/>
            <w:right w:val="none" w:sz="0" w:space="0" w:color="auto"/>
          </w:divBdr>
          <w:divsChild>
            <w:div w:id="352154070">
              <w:marLeft w:val="0"/>
              <w:marRight w:val="0"/>
              <w:marTop w:val="0"/>
              <w:marBottom w:val="0"/>
              <w:divBdr>
                <w:top w:val="none" w:sz="0" w:space="0" w:color="auto"/>
                <w:left w:val="none" w:sz="0" w:space="0" w:color="auto"/>
                <w:bottom w:val="none" w:sz="0" w:space="0" w:color="auto"/>
                <w:right w:val="none" w:sz="0" w:space="0" w:color="auto"/>
              </w:divBdr>
              <w:divsChild>
                <w:div w:id="628391702">
                  <w:marLeft w:val="0"/>
                  <w:marRight w:val="0"/>
                  <w:marTop w:val="0"/>
                  <w:marBottom w:val="0"/>
                  <w:divBdr>
                    <w:top w:val="none" w:sz="0" w:space="0" w:color="auto"/>
                    <w:left w:val="none" w:sz="0" w:space="0" w:color="auto"/>
                    <w:bottom w:val="none" w:sz="0" w:space="0" w:color="auto"/>
                    <w:right w:val="none" w:sz="0" w:space="0" w:color="auto"/>
                  </w:divBdr>
                  <w:divsChild>
                    <w:div w:id="1205212623">
                      <w:marLeft w:val="0"/>
                      <w:marRight w:val="0"/>
                      <w:marTop w:val="0"/>
                      <w:marBottom w:val="0"/>
                      <w:divBdr>
                        <w:top w:val="none" w:sz="0" w:space="0" w:color="auto"/>
                        <w:left w:val="none" w:sz="0" w:space="0" w:color="auto"/>
                        <w:bottom w:val="none" w:sz="0" w:space="0" w:color="auto"/>
                        <w:right w:val="none" w:sz="0" w:space="0" w:color="auto"/>
                      </w:divBdr>
                      <w:divsChild>
                        <w:div w:id="1796439835">
                          <w:marLeft w:val="0"/>
                          <w:marRight w:val="0"/>
                          <w:marTop w:val="0"/>
                          <w:marBottom w:val="0"/>
                          <w:divBdr>
                            <w:top w:val="none" w:sz="0" w:space="0" w:color="auto"/>
                            <w:left w:val="none" w:sz="0" w:space="0" w:color="auto"/>
                            <w:bottom w:val="none" w:sz="0" w:space="0" w:color="auto"/>
                            <w:right w:val="none" w:sz="0" w:space="0" w:color="auto"/>
                          </w:divBdr>
                          <w:divsChild>
                            <w:div w:id="142773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272681">
      <w:bodyDiv w:val="1"/>
      <w:marLeft w:val="0"/>
      <w:marRight w:val="0"/>
      <w:marTop w:val="0"/>
      <w:marBottom w:val="0"/>
      <w:divBdr>
        <w:top w:val="none" w:sz="0" w:space="0" w:color="auto"/>
        <w:left w:val="none" w:sz="0" w:space="0" w:color="auto"/>
        <w:bottom w:val="none" w:sz="0" w:space="0" w:color="auto"/>
        <w:right w:val="none" w:sz="0" w:space="0" w:color="auto"/>
      </w:divBdr>
    </w:div>
    <w:div w:id="1640526973">
      <w:bodyDiv w:val="1"/>
      <w:marLeft w:val="0"/>
      <w:marRight w:val="0"/>
      <w:marTop w:val="0"/>
      <w:marBottom w:val="0"/>
      <w:divBdr>
        <w:top w:val="none" w:sz="0" w:space="0" w:color="auto"/>
        <w:left w:val="none" w:sz="0" w:space="0" w:color="auto"/>
        <w:bottom w:val="none" w:sz="0" w:space="0" w:color="auto"/>
        <w:right w:val="none" w:sz="0" w:space="0" w:color="auto"/>
      </w:divBdr>
    </w:div>
    <w:div w:id="1666199733">
      <w:bodyDiv w:val="1"/>
      <w:marLeft w:val="0"/>
      <w:marRight w:val="0"/>
      <w:marTop w:val="0"/>
      <w:marBottom w:val="0"/>
      <w:divBdr>
        <w:top w:val="none" w:sz="0" w:space="0" w:color="auto"/>
        <w:left w:val="none" w:sz="0" w:space="0" w:color="auto"/>
        <w:bottom w:val="none" w:sz="0" w:space="0" w:color="auto"/>
        <w:right w:val="none" w:sz="0" w:space="0" w:color="auto"/>
      </w:divBdr>
    </w:div>
    <w:div w:id="1692339801">
      <w:bodyDiv w:val="1"/>
      <w:marLeft w:val="0"/>
      <w:marRight w:val="0"/>
      <w:marTop w:val="0"/>
      <w:marBottom w:val="0"/>
      <w:divBdr>
        <w:top w:val="none" w:sz="0" w:space="0" w:color="auto"/>
        <w:left w:val="none" w:sz="0" w:space="0" w:color="auto"/>
        <w:bottom w:val="none" w:sz="0" w:space="0" w:color="auto"/>
        <w:right w:val="none" w:sz="0" w:space="0" w:color="auto"/>
      </w:divBdr>
    </w:div>
    <w:div w:id="1911891396">
      <w:bodyDiv w:val="1"/>
      <w:marLeft w:val="0"/>
      <w:marRight w:val="0"/>
      <w:marTop w:val="0"/>
      <w:marBottom w:val="0"/>
      <w:divBdr>
        <w:top w:val="none" w:sz="0" w:space="0" w:color="auto"/>
        <w:left w:val="none" w:sz="0" w:space="0" w:color="auto"/>
        <w:bottom w:val="none" w:sz="0" w:space="0" w:color="auto"/>
        <w:right w:val="none" w:sz="0" w:space="0" w:color="auto"/>
      </w:divBdr>
    </w:div>
    <w:div w:id="1961953435">
      <w:bodyDiv w:val="1"/>
      <w:marLeft w:val="0"/>
      <w:marRight w:val="0"/>
      <w:marTop w:val="0"/>
      <w:marBottom w:val="0"/>
      <w:divBdr>
        <w:top w:val="none" w:sz="0" w:space="0" w:color="auto"/>
        <w:left w:val="none" w:sz="0" w:space="0" w:color="auto"/>
        <w:bottom w:val="none" w:sz="0" w:space="0" w:color="auto"/>
        <w:right w:val="none" w:sz="0" w:space="0" w:color="auto"/>
      </w:divBdr>
    </w:div>
    <w:div w:id="1987123083">
      <w:bodyDiv w:val="1"/>
      <w:marLeft w:val="0"/>
      <w:marRight w:val="0"/>
      <w:marTop w:val="0"/>
      <w:marBottom w:val="0"/>
      <w:divBdr>
        <w:top w:val="none" w:sz="0" w:space="0" w:color="auto"/>
        <w:left w:val="none" w:sz="0" w:space="0" w:color="auto"/>
        <w:bottom w:val="none" w:sz="0" w:space="0" w:color="auto"/>
        <w:right w:val="none" w:sz="0" w:space="0" w:color="auto"/>
      </w:divBdr>
    </w:div>
    <w:div w:id="2034764733">
      <w:bodyDiv w:val="1"/>
      <w:marLeft w:val="0"/>
      <w:marRight w:val="0"/>
      <w:marTop w:val="0"/>
      <w:marBottom w:val="0"/>
      <w:divBdr>
        <w:top w:val="none" w:sz="0" w:space="0" w:color="auto"/>
        <w:left w:val="none" w:sz="0" w:space="0" w:color="auto"/>
        <w:bottom w:val="none" w:sz="0" w:space="0" w:color="auto"/>
        <w:right w:val="none" w:sz="0" w:space="0" w:color="auto"/>
      </w:divBdr>
    </w:div>
    <w:div w:id="2124425058">
      <w:bodyDiv w:val="1"/>
      <w:marLeft w:val="0"/>
      <w:marRight w:val="0"/>
      <w:marTop w:val="0"/>
      <w:marBottom w:val="0"/>
      <w:divBdr>
        <w:top w:val="none" w:sz="0" w:space="0" w:color="auto"/>
        <w:left w:val="none" w:sz="0" w:space="0" w:color="auto"/>
        <w:bottom w:val="none" w:sz="0" w:space="0" w:color="auto"/>
        <w:right w:val="none" w:sz="0" w:space="0" w:color="auto"/>
      </w:divBdr>
    </w:div>
    <w:div w:id="2136678209">
      <w:bodyDiv w:val="1"/>
      <w:marLeft w:val="0"/>
      <w:marRight w:val="0"/>
      <w:marTop w:val="0"/>
      <w:marBottom w:val="0"/>
      <w:divBdr>
        <w:top w:val="none" w:sz="0" w:space="0" w:color="auto"/>
        <w:left w:val="none" w:sz="0" w:space="0" w:color="auto"/>
        <w:bottom w:val="none" w:sz="0" w:space="0" w:color="auto"/>
        <w:right w:val="none" w:sz="0" w:space="0" w:color="auto"/>
      </w:divBdr>
    </w:div>
    <w:div w:id="2139645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titania.saeima.lv/LIVS12/SaeimaLIVS12.nsf/0/1556843062A49764C2258232004B38C6?OpenDocument"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0D34D-9CB1-4595-9EF0-C13B81412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4999</Words>
  <Characters>2850</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Atzinums par MK noteikumu projektu VSS-666 (2021)</vt:lpstr>
      <vt:lpstr/>
    </vt:vector>
  </TitlesOfParts>
  <Manager>Zanda Stara, Dagnija Palčevska</Manager>
  <Company>Tieslietu ministrija</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MK noteikumu projektu VSS-666 (2021)</dc:title>
  <dc:subject>Atlīdzība par zemes dzīļu aprobežojumu</dc:subject>
  <dc:creator>Toms Dreika</dc:creator>
  <cp:lastModifiedBy>Guna Eņģele-Volkova</cp:lastModifiedBy>
  <cp:revision>2</cp:revision>
  <cp:lastPrinted>2015-01-09T08:13:00Z</cp:lastPrinted>
  <dcterms:created xsi:type="dcterms:W3CDTF">2021-09-06T06:43:00Z</dcterms:created>
  <dcterms:modified xsi:type="dcterms:W3CDTF">2021-09-06T06:43:00Z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