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23-TA-958: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Atbalsta pasākumi nozaru vajadzībās balstītai pieaugušo izglītībai un to īstenošanas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darba devējam saskaņā ar Valsts ieņēmumu dienesta administrēto nodokļu (nodevu) parādnieku datubāzē pieejamo informāciju nav nodokļu vai nodevu parāda, tai skaitā valsts sociālās apdrošināšanas obligāto iemaksu parāda, kas kopsummā pārsniedz 150 euro, izņemot nodokļu maksājumus, kuru maksāšanas termiņš saskaņā ar likuma "Par nodokļiem un nodevām" 24. panta pirmo, 1.</w:t>
            </w:r>
            <w:r w:rsidR="00000000" w:rsidRPr="00000000" w:rsidDel="00000000">
              <w:rPr>
                <w:vertAlign w:val="superscript"/>
                <w:rtl w:val="0"/>
              </w:rPr>
              <w:t xml:space="preserve">3</w:t>
            </w:r>
            <w:r w:rsidR="00000000" w:rsidRPr="00000000" w:rsidDel="00000000">
              <w:rPr>
                <w:rtl w:val="0"/>
              </w:rPr>
              <w:t xml:space="preserve"> un 1.</w:t>
            </w:r>
            <w:r w:rsidR="00000000" w:rsidRPr="00000000" w:rsidDel="00000000">
              <w:rPr>
                <w:vertAlign w:val="superscript"/>
                <w:rtl w:val="0"/>
              </w:rPr>
              <w:t xml:space="preserve">7</w:t>
            </w:r>
            <w:r w:rsidR="00000000" w:rsidRPr="00000000" w:rsidDel="00000000">
              <w:rPr>
                <w:rtl w:val="0"/>
              </w:rPr>
              <w:t xml:space="preserve"> daļu ir pagarināts, sadalīts termiņos, atlikts vai atkārtoti sadalīts termiņos projekta iesniegšanas dienā un precizētā projekta iesniegšanas dienā vai attiecībā uz kuriem ir noslēgts vienošanās līgums saskaņā ar iepriekšminētā likuma 41. pantu;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7.2. apakšpunkta redakciju. Atbilstoši noteikumu projekta 6.punktam, darba devējs piesakās atbalsta saņemšanai pie finansējuma saņēmēja, t.i., biedrības, kura ar Sadarbības iestādi ir noslēgusi līgumu par projekta īstenošanu, tādējādi nav saprotams, kas ir projekta iesniegums, uz kura iesniegšanas brīdi tiek vērta darba devēja atbilstība atbalsta saņemšanai. Lūdzam noteikumu projektā nodrošināt vienotu un skaidru pieeju tam, kad darba devējs piesakās atbalsta saņemšanai - pirms projekta apstiprināšanas (piesakās atbalstam pie projekta iesniedzēja) vai pēc projekta iesnieguma apstiprināšanas (piesakās atbalstam pie finansējuma saņēmēja).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Maija Upeniece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Projektu iesniegumos pasākuma pirmās kārtas īstenošanai kopējo pasākuma pirmās kārtas pieejamo finansējumu plāno ne vairāk kā 12 380 706 </w:t>
            </w:r>
            <w:r w:rsidR="00000000" w:rsidRPr="00000000" w:rsidDel="00000000">
              <w:rPr>
                <w:i w:val="1"/>
                <w:rtl w:val="0"/>
              </w:rPr>
              <w:t xml:space="preserve">euro</w:t>
            </w:r>
            <w:r w:rsidR="00000000" w:rsidRPr="00000000" w:rsidDel="00000000">
              <w:rPr>
                <w:rtl w:val="0"/>
              </w:rPr>
              <w:t xml:space="preserve"> apmērā, tai skaitā ESF+ finansējumu – 10 523 600 </w:t>
            </w:r>
            <w:r w:rsidR="00000000" w:rsidRPr="00000000" w:rsidDel="00000000">
              <w:rPr>
                <w:i w:val="1"/>
                <w:rtl w:val="0"/>
              </w:rPr>
              <w:t xml:space="preserve">euro</w:t>
            </w:r>
            <w:r w:rsidR="00000000" w:rsidRPr="00000000" w:rsidDel="00000000">
              <w:rPr>
                <w:rtl w:val="0"/>
              </w:rPr>
              <w:t xml:space="preserve"> apmērā un valsts budžeta līdzfinansējumu – 1 857 106 </w:t>
            </w:r>
            <w:r w:rsidR="00000000" w:rsidRPr="00000000" w:rsidDel="00000000">
              <w:rPr>
                <w:i w:val="1"/>
                <w:rtl w:val="0"/>
              </w:rPr>
              <w:t xml:space="preserve">euro</w:t>
            </w:r>
            <w:r w:rsidR="00000000" w:rsidRPr="00000000" w:rsidDel="00000000">
              <w:rPr>
                <w:rtl w:val="0"/>
              </w:rPr>
              <w:t xml:space="preserve"> apmērā.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norādīto pieejamo finansējumu.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Projektu iesniegumos pasākuma īstenošanai kopējo pieejamo finansējumu plāno ne vairāk kā 12 219 106 euro apmērā, tai skaitā Eiropas Sociālā fonda Plus finansējumu – 10 386 242 euro apmērā un valsts budžeta līdzfinansējumu – 1 832 867 euro apmērā.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Krūze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19.1.1. līdz 2024. gada 31. decembrim neunikālo nodarbināto personu skaits, tostarp pašnodarbinātas personas, kam nodrošināta mācību apguve, - 500;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rādītāja definīciju atbilstoši Eiropas Savienības kohēzijas politikas programmā 2021.-2027.gadam noteiktajam.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19.1.1. līdz 2024. gada 31. decembrim nodarbināto personu skaits, tostarp pašnodarbinātas personas,- 500;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Krūze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19.1.2. līdz 2029. gada 31. decembrim neunikālo nodarbināto personu skaits, tostarp pašnodarbinātas personas, kam nodrošināta mācību apguve, - 8 352;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rādītāja definīciju atbilstoši Eiropas Savienības kohēzijas politikas programmā 2021.-2027.gadam noteiktajam.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19.1.2. līdz 2029. gada 31. decembrim nodarbināto personu skaits, tostarp pašnodarbinātas personas, - 8 352;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Krūze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Pasākuma pirmās kārtas ietvaros atbalsts finansējuma saņēmējam tiek sniegts granta veidā un darba devējam –  nefinanšu atbalsta veidā.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Komisijas regula Nr.651/2014 tādu atbalsta veidu neparedz kā nefinanšu atbalsts (skatīt Komisijas regulas Nr.651/2014 5.pantu). Attiecīgi lūdzam sniegt skaidrojumu par to, ko Ekonomikas ministrija saprot ar jēdzienu nefinanšu atbalsts un nodrošināt atbilstību Komisijas regulai Nr.651/2014 vai Komisijas regulai Nr.1407/2013.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Ķīse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23.3. tas uz atbalsta piešķiršanas brīdi atbilst grūtībās nonākuša komersanta statusam saskaņā ar Regulas Nr. 651/2014 2. panta 18. punkta definīciju.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Sniedzot atbalstu saskaņā ar Komisijas regulu Nr.651/2024, ir jānodrošina, ka atbalsta saņēmējs un mācību atbalsta saņēmējs ir tāds, kas nav uzskatāms par nonākušu finansiālās grūtībās saskaņā Komisijas regulas Nr.651/2014 2.panta 18.punktu. MKN projekta 23.3.punktā ir noteikts, ka atbalstu nepiešķir grūtībās nonākušiem uzņēmumiem, taču no MKN projekta 23.punkta nepārprotami neizriet tas, ka pirms atbalsta piešķiršanas tas tiek vērtēts.Attiecīgi lūdzam precizēt MKN projekta 23.punktu, ietverot tajā arī nosacījumu par to, ka pirms atbalsta piešķiršanas finansējuma saņēmējs vērtē darba devēju un ka atbilstība Komisijas regulas Nr.651/2014 2.panta 18.punkta c) apakšpunktam tiek pārbaudīta ar apliecinājuma palīdzību.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Ķīse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Projekta iesniedzējs sagatavo projekta iesniegumu atbilstoši projektu iesniegumu atlases nolikuma prasībām un iesniedz to Kohēzijas politikas fondu vadības informācijas sistēmā (turpmāk – Vadības informācijas sistēma), pievienojot šādus dokumentus un informāciju: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iepriekš izteiktajam iebildumam atkārtoti lūdzam noteikt, ka projekta iesniedzējam ir jāiesniedz apliecinājums, ka tam ir izstrādāta iekšējās kontroles sistēma (iekšējā kārtība) korupcijas un interešu konflikta riska kontrolei un ka tas ir informēts par Finanšu regulu, Eiropas Parlamenta un Padomes 2014. gada 26.februāra Direktīvu 2014/24/ES par publisko iepirkumu un ar ko atceļ Direktīvu 2004/18/EK, nacionālām prasībām, Eiropas Komisijas vadlīnijām par interešu konfliktu un apņemas tas ievērot.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Laugale-Volbaka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Finansējuma saņēmēja atbalstāmās darbības pasākuma ietvaros ir mācību nodrošināšana darba devējam.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definēt visas pasākumā atbalstāmās darbības, kuru īstenošanai attiecināmas MK noteikumu projektā paredzētās attiecināmas izmaksas, vienlaikus ietverot arī ES fondu komunikācijas prasību nodrošināšanu un paredzēt attiecināmās izmaksas šīs atbalstāmās darbības īstenošanai.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Krūze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Projekta ietvaros, atbilstoši Komisijas regulas Nr.651/2014 31.pantam un Komisijas regulai Nr. 1407/2013, ir attiecināmas projekta īstenošanas izmaksas, kas tieši saistītas ar projekta ietvaros veiktajām izmaksām, ir izmērāmas, samērīgas, pamatotas un atbilst pareizas finanšu vadības principiem: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novērstu nepamatotas interpretācijas riskus, lūdzam MKN projektā skaidri norādīt, kuros gadījumos atbalsts tiks piešķirts ar Komisijas regulas Nr.651/2014 31.pantu un kuros gadījumos ar Komisijas regulu Nr.1407/2013. Attiecīgi arī MKN projekta punktā minētās izmaksas ir jāsadala atbilstoši tam, kuru komercdarbības atbalsta kontroles regulējumu tiek paredzēts piemērot.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Ķīse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31.1.3.3. darba vietas aprīkojuma izmaksas (pieļaujama tikai aprīkojuma noma vai nolietojums), transporta izmaksas (maksa par degvielu, transportlīdzekļa noma, transporta pakalpojumu pirkšana, sabiedriskā transporta izmantošana), telpu īres un nomas izmaksas, telpu apsaimniekošanas izmaksas (apkure, elektrība, apsaimniekošanas pakalpojumi, ūdensapgāde), kancelejas preču izmaksas, pasta izdevumi, interneta un telekomunikāciju izmaksas, komandējumu vai darba braucienu izmaksas, kā arī ar datu uzkrāšanu un darba devēju datu pārbaudi saistītās izmaksas (datubāzes abonēšanas maksa uz laiku, kamēr tiek īstenots projekts), nepārsniedzot 3000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apakšpunkta redakciju, ņemot vērā,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telpu īres un nomas izmaksas, telpu apsaimniekošanas izmaksas, datubāzu abonēšanas maksa, kancelejas preču izmaksas, pasta izdevumi, interneta un telekomunikāciju izmaksas atbilstoši vadošās iestādes vadlīnijām Nr. 1.1. "Vadlīnijas par vienkāršoto izmaksu izmantošanas iespējām un to piemērošana Eiropas Savienības kohēzijas politikas programmas 2021.–2027.gadam ietvaros” ir projekta netiešās attiecināmās izmaksas un attiecīgi sedzamas no netiešo izmaksu vienotās likmes;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nepieciešams precizēt, vai plānoti iekšzemes vai ārvalstu komandējumi;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attiecībā uz darba vietas aprīkojuma izmaksām, lūdzam iekļaut attiecināmības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lūdzam precizēt, vai 3000 EUR ierobežojums attiecināms uz visu 31.1.3. apakšpunktu vai tikai uz 31.1.3.3.apakšpunktu.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31.1.3.3.jaunu darba vietu radīšanai vai gadījumos, ja esošo darba vietu aprīkojums ir nolietojies un tiek norakstīts, nepieciešamā aprīkojuma (biroja mēbeles un tehnika, datorprogrammas un licences) iegāde ne vairāk kā 3000 euro apmērā vienai darba vietai visā projekta īstenošanas laikā. Ja personāls ir nodarbināts normālo darba laiku, darba vietas aprīkojuma iegādes izmaksas ir attiecināmas 100 procentu apmērā. Ja personāls ir nodarbināts nepilnu darba laiku vai personāla atlīdzībai piemēro daļlaika izmaksu attiecināmības principu, darba vietas aprīkojuma izmaksas ir attiecināmas proporcionāli slodzes procentuālajam sadalījumam. Savukārt daļlaika izmaksu attiecināmības principa gadījumā tiek ņemts vērā nodarbinātā iesaistes periods projektā pret kopējo īstenošanas ilgumu;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Vienkāršoto izmaksu vienotā izmaksu likme šo noteikumu </w:t>
            </w:r>
            <w:r w:rsidR="00000000" w:rsidRPr="00000000" w:rsidDel="00000000">
              <w:rPr>
                <w:rtl w:val="0"/>
              </w:rPr>
              <w:t xml:space="preserve">31.1.3. </w:t>
            </w:r>
            <w:r w:rsidR="00000000" w:rsidRPr="00000000" w:rsidDel="00000000">
              <w:rPr>
                <w:rtl w:val="0"/>
              </w:rPr>
              <w:t xml:space="preserve">apakšpunkt</w:t>
            </w:r>
            <w:r w:rsidR="00000000" w:rsidRPr="00000000" w:rsidDel="00000000">
              <w:rPr>
                <w:rtl w:val="0"/>
              </w:rPr>
              <w:t xml:space="preserve">ā minētajām personāla atlīdzības izmaksām ir 20 % no pārējām tiešajām attiecināmajām izmaksām, neieskaitot personāla atlīdzības izmaksas, atbilstoši Eiropas Parlamenta un Padomes 2021. gada 24. jūnija Regulai (ES) Nr.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(turpmāk – Komisijas regula Nr. 2021/1060), 55. panta 1. punktam.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likmes apmērs ir saskaņojams ar vadošo iestādi.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ka likme attiecināma uz 31.1.3.1. un 31.1.3.2. apakšpunktiem, tā kā 31.1.3.3. apakšpunktā minētās izmaksas nav personāla izmaksas.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Netiešās attiecināmās izmaksas finansējuma saņēmējs plāno kā vienu izmaksu pozīciju, piemērojot netiešo izmaksu vienoto likmi 15 % apmērā no šo noteikumu </w:t>
            </w:r>
            <w:r w:rsidR="00000000" w:rsidRPr="00000000" w:rsidDel="00000000">
              <w:rPr>
                <w:rtl w:val="0"/>
              </w:rPr>
              <w:t xml:space="preserve">31.1.3. </w:t>
            </w:r>
            <w:r w:rsidR="00000000" w:rsidRPr="00000000" w:rsidDel="00000000">
              <w:rPr>
                <w:rtl w:val="0"/>
              </w:rPr>
              <w:t xml:space="preserve">apakšpunkt</w:t>
            </w:r>
            <w:r w:rsidR="00000000" w:rsidRPr="00000000" w:rsidDel="00000000">
              <w:rPr>
                <w:rtl w:val="0"/>
              </w:rPr>
              <w:t xml:space="preserve">ā norādītājām tiešajām attiecināmajām personāla izmaksām saskaņā ar Komisijas regulas Nr. 2021/1060 54. panta pirmās daļas "b" apakšpunktu.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atsauci uz 31.1.3.1.apakšpunktu, ņemot vērā, ka no ārpakalpojuma līgumu izmaksām netiešās izmaksas nevar tikt rēķinātas, savukārt 31.1.3.3. apakšpunktā minētās izmaksas nav personāla izmaksas.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 Projekta ietvaros nav attiecināmas izmaksas šādām darbībām: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MKN projekta 35.punkta ievaddaļā iekļaut atsauci uz Komisijas regulu Nr.651/2014, lai būtu nepārprotami skaidrs, ka nosacījumus, kas minēti šajā punktā, piemēro, ievērojot Komisijas regulu Nr.651/2014.</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Ķīse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 Finansējuma saņēmējam izmaksas attiecināmas no brīža, kad finansējuma saņēmējs iesniedzis projekta iesniegumu Vadības informācijas sistēmā. Darba devējam izmaksas attiecināmas no brīža, kad darba devējs  iesniedzis pieteikumu finansējuma saņēmējam atbilstoši Komisijas regulas Nr. 651/2014 6. panta 2. punktam, izņemot aktivitātes, kas nav uzskatāmas par darbu sākumu atbilstoši Komisijas regulas Nr. 651/2014 2. panta 23. punktā minētajai definīcijai. Ja uz iesnieguma iesniegšanas brīdi tiek konstatēts Komisijas regulas Nr. 651/2014 6. panta 2. punkta pārkāpums, darba devēja projekta ietvaros radušās izmaksas ir neattiecināmas un tās jāsedz no privātajiem līdzekļiem.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gadījumā, ja tiek konstatēts Komisijas regulas Nr.651/2014 6.panta 2.punkta pārkāpums, projekta iesniegums ir noraidāms. Attiecīgi lūdzam dzēst MKN projekta 40.punkta 3.teikumu.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Ķīse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 Finansējuma saņēmējam izmaksas attiecināmas no brīža, kad finansējuma saņēmējs iesniedzis projekta iesniegumu Vadības informācijas sistēmā. Darba devējam izmaksas attiecināmas no brīža, kad darba devējs  iesniedzis pieteikumu finansējuma saņēmējam atbilstoši Komisijas regulas Nr. 651/2014 6. panta 2. punktam, izņemot aktivitātes, kas nav uzskatāmas par darbu sākumu atbilstoši Komisijas regulas Nr. 651/2014 2. panta 23. punktā minētajai definīcijai. Ja uz iesnieguma iesniegšanas brīdi tiek konstatēts Komisijas regulas Nr. 651/2014 6. panta 2. punkta pārkāpums, darba devēja projekta ietvaros radušās izmaksas ir neattiecināmas un tās jāsedz no privātajiem līdzekļiem.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Komisijas regulas Nr.651/2014 6.panta 2.punktam atbalstu uzskata par tādu, kam piemīt stimulējoša ietekme, ja saņēmējs ir iesniedzis rakstisku atbalsta pieteikumu, pirms sākas darbs pie projekta vai pirms sākas darbība, attiecīgi šobrīd MKN projekta 40.punktā norādītais par izmaksu attiecināšanu nav atbilstošs Komisijas regulas Nr.651/2014 minētajam nosacījumam, jo Komisijas regula Nr.651/2014 paredz, ka stimulējošā ietekme izpildās, ja saņēmējs ir iesniedzis rakstisku atbalsta pieteikumu, pirms sākas darbs pie projekta vai pirms sākas darbība. Lūdzam precizēt MKN projekta 40.punktu.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Ķīse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Ja finansējuma saņēmējs ir uzsācis atbalstāmās darbības pirms līguma par projekta īstenošanu noslēgšanas ar sadarbības iestādi, tas uzņemas visus riskus par saistībām, ko tas ir uzņēmies, un izdevumu neattiecināmības risku.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MKN projekta 41.punktā ietvertais nosacījums būs attiecināms vienīgi uz tiem projektiem, kur komercdarbības atbalsts tiek sniegts saskaņā ar Komisijas regulu Nr.1407/2013. Sniedzot atbalstu saskaņā ar Komisijas regulu Nr.651/2014, ir jāievēro tās 6.pantā ietvertais nosacījums, ka atbalstu uzskata par tādu, kam piemīt stimulējoša ietekme, ja saņēmējs ir iesniedzis rakstisku atbalsta pieteikumu, pirms sākas darbs pie projekta vai pirms sākas darbība. Ievērojot minēto, lūdzam MKN projektā nepārprotami norādīt uz kādiem atbalsta projektiem tiks attiecināts 41.punktā ietvertais nosacījums.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Liede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Finansējuma saņēmēja pienākumi pasākuma pirmās kārtas ietvaros: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noteikt, ka finansējuma saņēmējs uzkrāj datus par šo noteikumu 2.3. punktā minēto grupu atbilstoši Eiropas Parlamenta un Padomes 2021. gada 24. jūnija Regulas (ES)  Nr. 2021/1057, ar  ko izveido Eiropas Sociālo fondu Plus un atceļ Regulu (ES) Nr. 1296/2013, I pielikumam un normatīvajiem aktiem, kas nosaka Eiropas Savienības fondu projektu pārbaužu veikšanas kārtību 2021.–2027. gada plānošanas periodā.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Krūze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Finansējuma saņēmēja pienākumi pasākuma pirmās kārtas ietvaros: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aktuālos VID skaidrojumus lūdzam iekļaut nosacījumu FInansējuma saņēmējam: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Finansējuma saņēmēja lēmuma pieņemšanā par atbalsta sniegšanu gala labuma guvējiem iesaistītās personas ir uzskatāmas par valsts amatpersonām likuma Par interešu konflikta novēršanu valsts amatpersonu darbībā 4.panta trešās daļas izpratnē, bez pienākuma sniegt iesniegt valsts amatpersonu deklarāciju.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Iljinskis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 Sadarbības iestādei ir šādi pienākumi: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sadarbības iestādes pienākumi un tiesības noteikti Eiropas Savienības fondu 2021.-2027.gada plānošanas perioda vadības likumā, lūdzam dzēst MK noteikumu 48.punktu.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Laugale-Volbaka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 Visām šo noteikumu </w:t>
            </w:r>
            <w:r w:rsidR="00000000" w:rsidRPr="00000000" w:rsidDel="00000000">
              <w:rPr>
                <w:rtl w:val="0"/>
              </w:rPr>
              <w:t xml:space="preserve">31. </w:t>
            </w:r>
            <w:r w:rsidR="00000000" w:rsidRPr="00000000" w:rsidDel="00000000">
              <w:rPr>
                <w:rtl w:val="0"/>
              </w:rPr>
              <w:t xml:space="preserve">punkt</w:t>
            </w:r>
            <w:r w:rsidR="00000000" w:rsidRPr="00000000" w:rsidDel="00000000">
              <w:rPr>
                <w:rtl w:val="0"/>
              </w:rPr>
              <w:t xml:space="preserve">ā minētajām darbībām, par kurām paredzētas izmaksas iekšzemes komandējumiem, finansējuma saņēmējam jāpiemēro vadošās iestādes izstrādātās metodikas "Vienas vienības izmaksu standarta likmes aprēķina un piemērošanas metodika 1 km izmaksām darbības programmas “Izaugsme un nodarbinātība” un Eiropas Savienības kohēzijas politikas programmas 2021.–2027.gadam  īstenošanai" un "Vienas vienības izmaksu standarta likmes aprēķina un piemērošanas metodika iekšzemes komandējumu izmaksām darbības programmas “Izaugsme un nodarbinātība” īstenošanai". Ārvalstu komandējuma izmaksas sedzamas projekta īstenošanas un vadības personālam un finansējuma saņēmēja darbiniekiem, kas piedalās </w:t>
            </w:r>
            <w:r w:rsidR="00000000" w:rsidRPr="00000000" w:rsidDel="00000000">
              <w:rPr>
                <w:rtl w:val="0"/>
              </w:rPr>
              <w:t xml:space="preserve">31.1.1.6.</w:t>
            </w:r>
            <w:r w:rsidR="00000000" w:rsidRPr="00000000" w:rsidDel="00000000">
              <w:rPr>
                <w:rtl w:val="0"/>
              </w:rPr>
              <w:t xml:space="preserve">, </w:t>
            </w:r>
            <w:r w:rsidR="00000000" w:rsidRPr="00000000" w:rsidDel="00000000">
              <w:rPr>
                <w:rtl w:val="0"/>
              </w:rPr>
              <w:t xml:space="preserve">31.1.3.3.</w:t>
            </w:r>
            <w:r w:rsidR="00000000" w:rsidRPr="00000000" w:rsidDel="00000000">
              <w:rPr>
                <w:rtl w:val="0"/>
              </w:rPr>
              <w:t xml:space="preserve">., </w:t>
            </w:r>
            <w:r w:rsidR="00000000" w:rsidRPr="00000000" w:rsidDel="00000000">
              <w:rPr>
                <w:rtl w:val="0"/>
              </w:rPr>
              <w:t xml:space="preserve">31.2.1.</w:t>
            </w:r>
            <w:r w:rsidR="00000000" w:rsidRPr="00000000" w:rsidDel="00000000">
              <w:rPr>
                <w:rtl w:val="0"/>
              </w:rPr>
              <w:t xml:space="preserve">, </w:t>
            </w:r>
            <w:r w:rsidR="00000000" w:rsidRPr="00000000" w:rsidDel="00000000">
              <w:rPr>
                <w:rtl w:val="0"/>
              </w:rPr>
              <w:t xml:space="preserve">31.2.5. </w:t>
            </w:r>
            <w:r w:rsidR="00000000" w:rsidRPr="00000000" w:rsidDel="00000000">
              <w:rPr>
                <w:rtl w:val="0"/>
              </w:rPr>
              <w:t xml:space="preserve">apakšpunkt</w:t>
            </w:r>
            <w:r w:rsidR="00000000" w:rsidRPr="00000000" w:rsidDel="00000000">
              <w:rPr>
                <w:rtl w:val="0"/>
              </w:rPr>
              <w:t xml:space="preserve">ā minētajos pasākumos vai atbalsta to organizēšanu.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ārvalstu komandējuma izmaksām vadošās iestādes vadlīnijās Nr. 1.2. "Vadlīnijas attiecināmo izmaksu noteikšanai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Savienības kohēzijas politikas programmas 2021.-2027.gada plānošanas periodā” ir noteikts, ka tās attiecināmas projekta vadītājam un projekta īstenošanas personālam, līdz ar to lūdzam anotācijā ietvert detālu pamatojumu, kāpēc paredzēts šāds izņēmums.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Ar atbalsta piešķiršanu saistītie nosacījumi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MKN projektu ar nosacījumu, no kura skaidri izriet tas, kas ir uzskatāms par atbalsta piešķiršanas brīdi gadījumos, kad atbalsts tiek piešķirts saskaņā ar Komisijas regulu Nr.651/2014. Turklāt lūdzam atbalsta piešķiršanas brīdi definēt gan gadījumā, kad sadarbības iestāde piešķir atbalstu biedrībai, gan gadījumā, kad biedrība piešķir atbalstu gala labuma guvējam.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Ķīse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Ar atbalsta piešķiršanu saistītie nosacījumi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ietvert MKN projektā skaidru sadalījumu par to, kuri MKN projektā ietvertie piemērojamā komercdarbības atbalsta kontroles regulējuma nosacījumi attiecas uz finansējuma saņēmēju un kuri uz gala labuma guvējiem, ievērojot to, ka komercdarbības atbalsta piešķiršanas nosacījumi, piemērojot Komisijas regulu Nr.1407/2013 vai Komisijas regulu Nr.651/2014 atšķiras. Attiecīgi lūdzam pārskatīt un precizēt MKN projektu kopumā.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Ķīse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Atbalsts darba devējam un finansējuma saņēmējam netiek sniegts, ja tas darbojas: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MKN projekta 52.punkta ievaddaļā iekļaut atsauci uz Komisijas regulu Nr.651/2014, lai būtu nepārprotami skaidrs, ka nosacījumus, kas minēti šajā punktā, piemēro, sniedzot atbalstu ar Komisijas regulu Nr.651/2014.</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Ķīse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52.1. Komisijas regulas Nr. 651/2014 13. panta "a", "b", "c", "d" apakšpunktā noteiktajās neatbalstāmajās nozarēs un darbībās;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izziņas 94.punktā Finanšu ministrijas izteikto iebildumu, jo, lai arī izziņā skaidrots, ka EM paredz stingrākas prasības un tas tiks atzīmēts arī anotācijā, skaidrojuma anotācijā nav. Ņemot vērā minēto, ja EM šo punktu no MKN projekta nedzēš, anotācijas 5.sadaļas 1.tabula ir jāpapildina ar skaidrojumu, kādēļ tiek paredzētas stingrākas prasības, nekā to nosaka Komisijas regula Nr.651/2014.</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Ķīse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52.3. Komisijas regulas Nr. 651/2014 1. panta 3. punktā noteiktajās neatbalstāmajās nozarēs un darbībās atbilstoši Komisijas regulas Nr. 651/2014 2. panta 8., 9., 10. un 11. punktā noteiktajām definīcijām un pretendē uz atbalstu saskaņā ar Komisijas regulu Nr. 651/2014;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izziņas 95.punktā Finanšu ministrijas izteikto iebildumu, jo, lai arī izziņā skaidrots, ka EM paredz stingrākas prasības un tas tiks atzīmēts arī anotācijā, skaidrojuma anotācijā nav. Ņemot vērā minēto, ja EM šo punktu no MKN projekta nedzēš, tā anotācijas V sadaļas 1.tabula ir jāpapildina ar skaidrojumu, kādēļ tiek paredzētas stingrākas prasības, nekā to paredz Komisijas regula Nr.651/2014. Vēršam uzmanību, ka atbalsts mācībām Komisijas regulas Nr.651/2014 1.panta 3.punktā ir minēts kā izņēmums, kuram šo regulu var piemērot (skatīt Komisijas regulas Nr.651/2014 1.panta 3.punkta a) un b) apakšpunktu).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Ķīse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 Vienam</w:t>
            </w:r>
            <w:r w:rsidR="00000000" w:rsidRPr="00000000" w:rsidDel="00000000">
              <w:rPr>
                <w:i w:val="1"/>
                <w:rtl w:val="0"/>
              </w:rPr>
              <w:t xml:space="preserve"> de minimis</w:t>
            </w:r>
            <w:r w:rsidR="00000000" w:rsidRPr="00000000" w:rsidDel="00000000">
              <w:rPr>
                <w:rtl w:val="0"/>
              </w:rPr>
              <w:t xml:space="preserve"> atbalsta saņēmējam </w:t>
            </w:r>
            <w:r w:rsidR="00000000" w:rsidRPr="00000000" w:rsidDel="00000000">
              <w:rPr>
                <w:i w:val="1"/>
                <w:rtl w:val="0"/>
              </w:rPr>
              <w:t xml:space="preserve">de minimis</w:t>
            </w:r>
            <w:r w:rsidR="00000000" w:rsidRPr="00000000" w:rsidDel="00000000">
              <w:rPr>
                <w:rtl w:val="0"/>
              </w:rPr>
              <w:t xml:space="preserve"> atbalsta apmērs kopā ar attiecīgajā fiskālajā gadā un iepriekšējos divos fiskālajos gados piešķirto </w:t>
            </w:r>
            <w:r w:rsidR="00000000" w:rsidRPr="00000000" w:rsidDel="00000000">
              <w:rPr>
                <w:i w:val="1"/>
                <w:rtl w:val="0"/>
              </w:rPr>
              <w:t xml:space="preserve">de minimis</w:t>
            </w:r>
            <w:r w:rsidR="00000000" w:rsidRPr="00000000" w:rsidDel="00000000">
              <w:rPr>
                <w:rtl w:val="0"/>
              </w:rPr>
              <w:t xml:space="preserve"> atbalstu nepārsniedz Komisijas regulas Nr. 1407/2013 3. panta 2. punktā noteikto maksimālo </w:t>
            </w:r>
            <w:r w:rsidR="00000000" w:rsidRPr="00000000" w:rsidDel="00000000">
              <w:rPr>
                <w:i w:val="1"/>
                <w:rtl w:val="0"/>
              </w:rPr>
              <w:t xml:space="preserve">de minimis</w:t>
            </w:r>
            <w:r w:rsidR="00000000" w:rsidRPr="00000000" w:rsidDel="00000000">
              <w:rPr>
                <w:rtl w:val="0"/>
              </w:rPr>
              <w:t xml:space="preserve"> atbalsta apmēru.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Komisijas regulas Nr. 1407/2013 3. panta 2. punktā noteikto maksimālo de minimis atbalsta apmēru skata Komisijas regulas Nr. 1407/2013 2. panta 2. punktā definētā viena vienota uzņēmuma līmenī. Ar attiecīgu norādi lūdzam papildināt MKN projekta 57.punktu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Liede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Pirms projekta pieteikuma iesniegšanas darba devējs vienojas ar finansējuma saņēmēju par komercdarbības atbalsta veidu atbilstoši Komisijas regulas Nr. 651/2014 vai Komisijas regulas Nr. 1407/2013 nosacījumiem.  Ja darba devējs pretendē uz komercdarbības atbalstu saskaņā ar Komisijas regulu Nr. 1407/2013.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MKN projekta un tā anotācijā sniegtā skaidrojuma nav skaidrs, izpildoties kādiem nosacījumiem, tiek pieņemts lēmums, vai atbalsts tiks sniegts  saskaņā ar  Komisijas regulas Nr. 651/2014 vai Komisijas regulas Nr. 1407/2013 nosacījumiem. Attiecīgi MKN projektu precizēt, balstoties uz kādiem apsvērumiem darba devējs vienojas ar finansējuma saņēmēju, nonāk pie lēmuma piemērot kādu no augstāk minētajām regulām. Vienlaikus lūdzam pārskatīt 63.punkta otro teikumu, jo šobrīd nav skaidra tā jēga.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Liede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 Finansējuma saņēmējs šo noteikumu </w:t>
            </w:r>
            <w:r w:rsidR="00000000" w:rsidRPr="00000000" w:rsidDel="00000000">
              <w:rPr>
                <w:rtl w:val="0"/>
              </w:rPr>
              <w:t xml:space="preserve">31.1.3. </w:t>
            </w:r>
            <w:r w:rsidR="00000000" w:rsidRPr="00000000" w:rsidDel="00000000">
              <w:rPr>
                <w:rtl w:val="0"/>
              </w:rPr>
              <w:t xml:space="preserve">apakšpunkt</w:t>
            </w:r>
            <w:r w:rsidR="00000000" w:rsidRPr="00000000" w:rsidDel="00000000">
              <w:rPr>
                <w:rtl w:val="0"/>
              </w:rPr>
              <w:t xml:space="preserve">ā minētās izmaksas sniedz saskaņā ar Komisijas regulu Nr. 1407/2013 un normatīvajiem aktiem par </w:t>
            </w:r>
            <w:r w:rsidR="00000000" w:rsidRPr="00000000" w:rsidDel="00000000">
              <w:rPr>
                <w:i w:val="1"/>
                <w:rtl w:val="0"/>
              </w:rPr>
              <w:t xml:space="preserve">de minimis</w:t>
            </w:r>
            <w:r w:rsidR="00000000" w:rsidRPr="00000000" w:rsidDel="00000000">
              <w:rPr>
                <w:rtl w:val="0"/>
              </w:rPr>
              <w:t xml:space="preserve"> atbalsta uzskaites un piešķiršanas kārtību un </w:t>
            </w:r>
            <w:r w:rsidR="00000000" w:rsidRPr="00000000" w:rsidDel="00000000">
              <w:rPr>
                <w:i w:val="1"/>
                <w:rtl w:val="0"/>
              </w:rPr>
              <w:t xml:space="preserve">de minimis</w:t>
            </w:r>
            <w:r w:rsidR="00000000" w:rsidRPr="00000000" w:rsidDel="00000000">
              <w:rPr>
                <w:rtl w:val="0"/>
              </w:rPr>
              <w:t xml:space="preserve"> atbalsta uzskaites veidlapu paraugiem, un tas ir uzskatāms par komercdarbības atbalstu finansējuma saņēmējam. Sadarbības iestāde atbilstoši šo noteikumu </w:t>
            </w:r>
            <w:r w:rsidR="00000000" w:rsidRPr="00000000" w:rsidDel="00000000">
              <w:rPr>
                <w:rtl w:val="0"/>
              </w:rPr>
              <w:t xml:space="preserve">63. </w:t>
            </w:r>
            <w:r w:rsidR="00000000" w:rsidRPr="00000000" w:rsidDel="00000000">
              <w:rPr>
                <w:rtl w:val="0"/>
              </w:rPr>
              <w:t xml:space="preserve">punkt</w:t>
            </w:r>
            <w:r w:rsidR="00000000" w:rsidRPr="00000000" w:rsidDel="00000000">
              <w:rPr>
                <w:rtl w:val="0"/>
              </w:rPr>
              <w:t xml:space="preserve">am vērtē finansējuma saņēmēja atbilstību </w:t>
            </w:r>
            <w:r w:rsidR="00000000" w:rsidRPr="00000000" w:rsidDel="00000000">
              <w:rPr>
                <w:i w:val="1"/>
                <w:rtl w:val="0"/>
              </w:rPr>
              <w:t xml:space="preserve">de minimis</w:t>
            </w:r>
            <w:r w:rsidR="00000000" w:rsidRPr="00000000" w:rsidDel="00000000">
              <w:rPr>
                <w:rtl w:val="0"/>
              </w:rPr>
              <w:t xml:space="preserve"> atbalsta nosacījumiem uz komercdarbības atbalsta piešķiršanas brīdi. Par komercdarbības atbalsta piešķiršanas dienu uzskatāma diena, kad sadarbības iestāde pieņēmusi lēmumu par komercdarbības atbalsta piešķiršanu finansējuma saņēmējam.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un precizēt MKN projekta 64.punktu, definējot atbalsta piešķiršanas brīdi arī gadījumā, kad biedrība piešķir atbalstu gala labuma guvējam.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Ķīse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 Ja tiek pārkāptas komercdarbības atbalsta kontroles normas, kas izriet no Komisijas regulas Nr. 1407/2013, finansējuma saņēmējam ir pienākums atmaksāt sadarbības iestādei vai darba devējam ir pienākums atmaksāt finansējuma saņēmējam visu projekta ietvaros saņemto nelikumīgo </w:t>
            </w:r>
            <w:r w:rsidR="00000000" w:rsidRPr="00000000" w:rsidDel="00000000">
              <w:rPr>
                <w:i w:val="1"/>
                <w:rtl w:val="0"/>
              </w:rPr>
              <w:t xml:space="preserve">de minimis</w:t>
            </w:r>
            <w:r w:rsidR="00000000" w:rsidRPr="00000000" w:rsidDel="00000000">
              <w:rPr>
                <w:rtl w:val="0"/>
              </w:rPr>
              <w:t xml:space="preserve"> atbalstu kopā ar procentiem no līdzekļiem, kas brīvi no komercdarbības atbalsta, atbilstoši Komercdarbības atbalsta kontroles likuma IV vai V nodaļas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pasākuma ietvaros publiskie līdzekļi tiek piešķirti gan biedrībai, gan darba devējiem, lūdzam MKN projektā nodrošināt, ka nelikumīga komercdarbības atbalsta gadījumā nelikumīgā komercdarbības atbalsta atmaksa primāri tiks nodrošināta sadarbības iestādei. Vēršam uzmanību, ka šis princips jau ir ticis ievērots Ministru kabineta 2015. gada 27. oktobra noteikumu Nr. 617 "Darbības programmas "Izaugsme un nodarbinātība" 1.2.2. specifiskā atbalsta mērķa "Veicināt inovāciju ieviešanu komersantos" 1.2.2.1. pasākuma "Atbalsts nodarbināto apmācībām" pirmās un otrās projektu iesniegumu atlases kārtas īstenošanas noteikumi” ietvaros. Attiecīgi aicinām precizēt MKN projektu un sniegt skaidrojumu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Liede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 Ja tiek pārkāptas komercdarbības atbalsta kontroles normas, kas izriet no Komisijas regulas Nr. 651/2014, komercdarbības atbalsta saņēmējam ir pienākums atmaksāt atbalsta sniedzējam projekta ietvaros saņemto nelikumīgo komercdarbības atbalstu kopā ar procentiem no līdzekļiem, kas ir brīvi no komercdarbības atbalsta, atbilstoši Komercdarbības atbalsta kontroles likuma IV vai V nodaļas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atbalsta sniedzējs būs biedrība, lūdzam paredzēt arī kārtību, kādā biedrība saņemto nelikumīgo komercdarbības atbalstu atmaksās sadarbības iestādei. Attiecīgi lūdzam papildināt MKN projektu ar šo nosacījumu, kā arī iekļaut par to anotācijā atbilstošu skaidrojumu. Papildus par šo lūdzam skatīt arī iebildumu pie MKN projekta 67.punkta.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Ķīse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Darba devējs atbalstu, kam ar Komisijas regulu Nr. 651/2014 piešķirts atbrīvojums, var kumulēt ar citu komercdarbības atbalstu, ja vien šie pasākumi attiecas uz dažādām nosakāmām attiecināmajām izmaksām, kā arī drīkst kumulēt ar citu komercdarbības atbalstu attiecībā uz tām pašām attiecināmajām izmaksām, kas daļēji vai pilnībā pārklājas, gadījumā, ja šādas kumulēšanas rezultātā netiek pārsniegta šo noteikumu </w:t>
            </w:r>
            <w:r w:rsidR="00000000" w:rsidRPr="00000000" w:rsidDel="00000000">
              <w:rPr>
                <w:rtl w:val="0"/>
              </w:rPr>
              <w:t xml:space="preserve">60. </w:t>
            </w:r>
            <w:r w:rsidR="00000000" w:rsidRPr="00000000" w:rsidDel="00000000">
              <w:rPr>
                <w:rtl w:val="0"/>
              </w:rPr>
              <w:t xml:space="preserve">punkt</w:t>
            </w:r>
            <w:r w:rsidR="00000000" w:rsidRPr="00000000" w:rsidDel="00000000">
              <w:rPr>
                <w:rtl w:val="0"/>
              </w:rPr>
              <w:t xml:space="preserve">ā  minētā atbalsta intensitāte un </w:t>
            </w:r>
            <w:r w:rsidR="00000000" w:rsidRPr="00000000" w:rsidDel="00000000">
              <w:rPr>
                <w:rtl w:val="0"/>
              </w:rPr>
              <w:t xml:space="preserve">69. </w:t>
            </w:r>
            <w:r w:rsidR="00000000" w:rsidRPr="00000000" w:rsidDel="00000000">
              <w:rPr>
                <w:rtl w:val="0"/>
              </w:rPr>
              <w:t xml:space="preserve">punktā</w:t>
            </w:r>
            <w:r w:rsidR="00000000" w:rsidRPr="00000000" w:rsidDel="00000000">
              <w:rPr>
                <w:rtl w:val="0"/>
              </w:rPr>
              <w:t xml:space="preserve"> minētajiem izņēmumiem. Ja par vienām un tām pašām projekta attiecināmajām izmaksām tiek sniegts atbalsts vairāku komercdarbības atbalsta programmu ietvaros, darba devējs finansējuma saņēmējam iesniedz informāciju par plānoto un piešķirto atbalstu par tām pašām attiecināmajām izmaksām, norādot atbalsta piešķiršanas datumu (tai skaitā plānoto atbalsta piešķiršanas datumu), atbalsta intensitāti, atbalsta sniedzēju, atbalsta pasākumu vai investīciju un plānoto vai piešķirto atbalsta summu.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MKN projekta 71.punkta daļu: </w:t>
            </w:r>
            <w:r w:rsidR="00000000" w:rsidRPr="00000000" w:rsidDel="00000000">
              <w:rPr>
                <w:i w:val="1"/>
                <w:rtl w:val="0"/>
              </w:rPr>
              <w:t xml:space="preserve">"ja par vienām un tām pašām projekta attiecināmajām izmaksām tiek sniegts atbalsts vairāku komercdarbības atbalsta programmu ietvaros, darba devējs finansējuma saņēmējam iesniedz informāciju par plānoto un piešķirto atbalstu par tām pašām attiecināmajām izmaksām, norādot atbalsta piešķiršanas datumu (tai skaitā plānoto atbalsta piešķiršanas datumu), atbalsta intensitāti, atbalsta sniedzēju, atbalsta pasākumu vai investīciju un plānoto vai piešķirto atbalsta summu" </w:t>
            </w:r>
            <w:r w:rsidR="00000000" w:rsidRPr="00000000" w:rsidDel="00000000">
              <w:rPr>
                <w:rtl w:val="0"/>
              </w:rPr>
              <w:t xml:space="preserve">izteikt kā atsevišķu punktu, jo šis nosacījums attiecas gan uz atbalstu, kas sniegts saskaņā ar Komisijas regulu Nr.651/2014, gan Komisijas regulu Nr.1407/2013, ja atbalsta saņēmējs vēlas veikt atbalstu apvienošanu.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Ķīse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Finansējuma saņēmējs un darba devējs </w:t>
            </w:r>
            <w:r w:rsidR="00000000" w:rsidRPr="00000000" w:rsidDel="00000000">
              <w:rPr>
                <w:i w:val="1"/>
                <w:rtl w:val="0"/>
              </w:rPr>
              <w:t xml:space="preserve">de minimis</w:t>
            </w:r>
            <w:r w:rsidR="00000000" w:rsidRPr="00000000" w:rsidDel="00000000">
              <w:rPr>
                <w:rtl w:val="0"/>
              </w:rPr>
              <w:t xml:space="preserve"> atbalstu nedrīkst kumulēt ar citu </w:t>
            </w:r>
            <w:r w:rsidR="00000000" w:rsidRPr="00000000" w:rsidDel="00000000">
              <w:rPr>
                <w:i w:val="1"/>
                <w:rtl w:val="0"/>
              </w:rPr>
              <w:t xml:space="preserve">de minimis</w:t>
            </w:r>
            <w:r w:rsidR="00000000" w:rsidRPr="00000000" w:rsidDel="00000000">
              <w:rPr>
                <w:rtl w:val="0"/>
              </w:rPr>
              <w:t xml:space="preserve"> vai citu valsts atbalstu attiecībā uz vienām un tām pašām attiecināmajām izmaksām vai citu valsts atbalstu tam pašam riska finansējuma pasākumam.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un precizēt MKN projektu, jo MKN projekta 72.punkts nonāk pretrunā ar MKN projekta 70.punktā noteikto. Attiecīgi, lūdzam izvēlēties vienu no variantiem un atstāt to, vienu no šiem MKN projekta punktiem dzēšot.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Ķīse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MK noteikumu projektā un anotācijā sniegtās informācijas (Vienkāršoto izmaksu metodika), nav droši saprotams, kāds finansējuma apmērs ir paredzēts vienam projektam, līdz ar to lūdzam skaidrot, vai šajā pasākumā jānodrošina Eiropas Parlamenta un Padomes 2021. gada 24. jūnija Regulas (ES)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53.panta 2.punktā minētā prasība par obligātu vienkāršoto izmaksu piemērošanu visām izmaksām. Ja tā, tad lūdzam apstiprināt, ka paredzētajā vienkāršoto izmaksu metodikā tiks ietvertas visas finansējuma saņēmējam plānotās izmaksas (izņemot personāla izmaksas, kam plānots piemērot vienoto likmi), kā arī pārskatīt anotācijā norādīto redakciju, ka "Gadījumā, ja vienkāršoto izmaksu metodikas nav izstrādātas un saskaņotas ar vadošo iestādi, līdz atlases izsludināšanai, projekta iesniegumā izmaksas plāno atbilstoši faktiskajām izmaksām".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pamatojumu, kuru no Komercdarbības atbalsta kontroles likuma 5.pantā minētajām komercdarbības atbalstu raksturojošajām pazīmēm ir iespējams izslēgt attiecībā uz gadījumiem, kad biedrības ir tikai kā starpnieki, ja pamatojumu, kādas no komercdarbības atbalstu raksturojošajām pazīmēm izslēgšanai sniegt nav iespējams, lūdzam komercdarbības atbalsta kontroles nosacījumus attiecināt uz biedrībām arī tajos gadījumos, kad tās darbojas tikai kā starpnieki.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Ķīse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3.sadaļā atspoguļoto ietekmi uz valsts budžetu, ievērojot, ka sadaļas 1., 1.1.punktā jānorāda ESF+ finansējuma daļa, kas ir 85%, 2. un 2.1.punktā - kopējais finansējuma apmērs, savukārt 3., 3.1., 5. un 5.1.punktā - valsts budžeta finansējuma daļa, kas ir 15%. Turklāt lūdzam 6.punktā sniegt informāciju par pasākuma kopējo finansējuma apmēru, kā arī sadalījumu pa finansēšanas avotiem.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Saistības pret Eiropas Savienību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izziņas 125.punktā Finanšu ministrijas izteikto iebildumu, jo anotācijas 5.sadaļa nav papildināta ar informāciju, ka Ekonomikas ministrija 20 darba dienu laikā pēc noteikumu projekta spēkā stāšanās nosūtīs kopsavilkuma informāciju par plānoto pasākumu Eiropas Komisijai. Paziņojums Eiropas Komisijai nosūtāms, izmantojot SANI 2 sistēmu atbilstoši kārtībai, kas noteikta Ministru kabineta 2014.gada 16.decembra noteikumos Nr.759 "Kārtība, kādā Eiropas Komisijā iesniedz atbalsta programmu un individuālo atbalsta projektu paziņojumus un kopsavilkuma informāciju, un kārtība, kādā piešķir un anulē elektroniskās sistēmas lietošanas tiesības". Attiecīgi atkārtoti lūdzam papildināt anotācijas 5.sadaļu ar minēto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Ķīse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MKN projektā veiktās izmaiņas, lūdzam pārskatīt anotācijas 5.sadaļas 1.tabulā veikto atbilstības izvērtējumu pret Komisijas regulas Nr.1407/2013 attiecīgajiem pantiem un to punktiem. Lūdzam ietvert tabulā skaidras norādes, kurā MKN projekta punktā Komisijas regulas Nr.1407/2013 nosacījumi ietverti attiecībā uz finansējuma saņēmējiem un kurā - gala labuma guvējiem.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Ķīse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MKN projektā veiktās izmaiņas, lūdzam pārskatīt anotācijas 5.sadaļas 1.tabulā veikto atbilstības izvērtējumu pret Komisijas regulas Nr. 651/2014 attiecīgajiem pantiem un to punktiem.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Ķīse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ar datu uzraudzību atbilstoši Eiropas Parlamenta un Padomes 2021. gada 24. jūnija Regulas (ES)  Nr. 2021/1057, ar  ko izveido Eiropas Sociālo fondu Plus un atceļ Regulu (ES) Nr. 1296/2013, I pielikumam un normatīvajiem aktiem, kas nosaka Eiropas Savienības fondu projektu pārbaužu veikšanas kārtību 2021.–2027. gada plānošanas periodā prasībām.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Krūze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noteikumu mērķī noteikto (motivēt darba devējus iesaistīt savas nodarbinātās personas papildu prasmju pilnveidošanai), lūdzam sniegt skaidrojumu, vai ar šiem noteikumiem tiks izpildīts Padomes īstenošanas lēmuma par Latvijas atveseļošanas un noturības plāna novērtējuma apstiprināšanu (CID) atskaites punkts Nr.57 “Kritēriju, kārtības un atbalsta pasākumu pieņemšana attiecībā uz stimuliem un atbildību uzņēmumiem (jo īpaši mazajās un vidējās nozarēs) izglītot savus darbiniekus”, kas ir jāizpilda līdz 2023.gada 31.decembrim. Ja attiecināms, lūdzam ar atbilstošu skaidrojumu papildināt arī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23-TA-958</w:t>
    </w:r>
    <w:r>
      <w:br/>
    </w:r>
    <w:r w:rsidR="00000000" w:rsidRPr="00000000" w:rsidDel="00000000">
      <w:rPr>
        <w:rtl w:val="0"/>
      </w:rPr>
      <w:t xml:space="preserve">Izdrukāts 28.11.2023. 16.32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23-TA-958</w:t>
    </w:r>
    <w:r>
      <w:br/>
    </w:r>
    <w:r w:rsidR="00000000" w:rsidRPr="00000000" w:rsidDel="00000000">
      <w:rPr>
        <w:rtl w:val="0"/>
      </w:rPr>
      <w:t xml:space="preserve">Izdrukāts 28.11.2023. 16.32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Atzinumi_23-TA-958.docx</dc:title>
</cp:coreProperties>
</file>

<file path=docProps/custom.xml><?xml version="1.0" encoding="utf-8"?>
<Properties xmlns="http://schemas.openxmlformats.org/officeDocument/2006/custom-properties" xmlns:vt="http://schemas.openxmlformats.org/officeDocument/2006/docPropsVTypes"/>
</file>