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23-TA-214: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2021.- 2027. gadam 4.3.4. specifiskā atbalsta mērķa "Sekmēt aktīvu iekļaušanu, lai veicinātu vienlīdzīgas iespējas, nediskriminēšanu un aktīvu līdzdalību, kā arī uzlabotu nodarbināmību, jo īpaši attiecībā uz nelabvēlīgā situācijā esošām grupām"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05.06.2023.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4.3.4.6. pasākuma ietvaros plānotais kopējais finansējums ar elastības finansējumu ir 3 371 250 </w:t>
            </w:r>
            <w:r w:rsidR="00000000" w:rsidRPr="00000000" w:rsidDel="00000000">
              <w:rPr>
                <w:i w:val="1"/>
                <w:rtl w:val="0"/>
              </w:rPr>
              <w:t xml:space="preserve">euro</w:t>
            </w:r>
            <w:r w:rsidR="00000000" w:rsidRPr="00000000" w:rsidDel="00000000">
              <w:rPr>
                <w:rtl w:val="0"/>
              </w:rPr>
              <w:t xml:space="preserve"> (tai skaitā elastības finansējuma apjoms 531 899 </w:t>
            </w:r>
            <w:r w:rsidR="00000000" w:rsidRPr="00000000" w:rsidDel="00000000">
              <w:rPr>
                <w:i w:val="1"/>
                <w:rtl w:val="0"/>
              </w:rPr>
              <w:t xml:space="preserve">euro</w:t>
            </w:r>
            <w:r w:rsidR="00000000" w:rsidRPr="00000000" w:rsidDel="00000000">
              <w:rPr>
                <w:rtl w:val="0"/>
              </w:rPr>
              <w:t xml:space="preserve">), tai skaitā ESF+ finansējums 2 865 562 </w:t>
            </w:r>
            <w:r w:rsidR="00000000" w:rsidRPr="00000000" w:rsidDel="00000000">
              <w:rPr>
                <w:i w:val="1"/>
                <w:rtl w:val="0"/>
              </w:rPr>
              <w:t xml:space="preserve">euro</w:t>
            </w:r>
            <w:r w:rsidR="00000000" w:rsidRPr="00000000" w:rsidDel="00000000">
              <w:rPr>
                <w:rtl w:val="0"/>
              </w:rPr>
              <w:t xml:space="preserve"> (tai skaitā elastības finansējuma apjoms 452 114 </w:t>
            </w:r>
            <w:r w:rsidR="00000000" w:rsidRPr="00000000" w:rsidDel="00000000">
              <w:rPr>
                <w:i w:val="1"/>
                <w:rtl w:val="0"/>
              </w:rPr>
              <w:t xml:space="preserve">euro</w:t>
            </w:r>
            <w:r w:rsidR="00000000" w:rsidRPr="00000000" w:rsidDel="00000000">
              <w:rPr>
                <w:rtl w:val="0"/>
              </w:rPr>
              <w:t xml:space="preserve">) un valsts budžeta finansējums 505 688 </w:t>
            </w:r>
            <w:r w:rsidR="00000000" w:rsidRPr="00000000" w:rsidDel="00000000">
              <w:rPr>
                <w:i w:val="1"/>
                <w:rtl w:val="0"/>
              </w:rPr>
              <w:t xml:space="preserve">euro</w:t>
            </w:r>
            <w:r w:rsidR="00000000" w:rsidRPr="00000000" w:rsidDel="00000000">
              <w:rPr>
                <w:rtl w:val="0"/>
              </w:rPr>
              <w:t xml:space="preserve"> (tai skaitā elastības finansējuma apjoms 79 785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iespēju precizēt 4.3.4.6. pasākuma "Resocializācijas pakalpojumu probācijas klientiem pilnveidošana un taisnīguma atjaunošanas pieeju attīstība, veicinot probācijas klientu aktīvu līdzdalību sabiedrības procesos un radot priekšnosacījumus viņu veiksmīgai iekļaušanai un nodarbināmībai" </w:t>
            </w:r>
            <w:r w:rsidR="00000000" w:rsidRPr="00000000" w:rsidDel="00000000">
              <w:rPr>
                <w:b w:val="1"/>
                <w:rtl w:val="0"/>
              </w:rPr>
              <w:t xml:space="preserve">plānoto un pieejamo kopējā finansējuma</w:t>
            </w:r>
            <w:r w:rsidR="00000000" w:rsidRPr="00000000" w:rsidDel="00000000">
              <w:rPr>
                <w:rtl w:val="0"/>
              </w:rPr>
              <w:t xml:space="preserve"> sadalījumu pa finansēšanas avotiem, </w:t>
            </w:r>
            <w:r w:rsidR="00000000" w:rsidRPr="00000000" w:rsidDel="00000000">
              <w:rPr>
                <w:b w:val="1"/>
                <w:rtl w:val="0"/>
              </w:rPr>
              <w:t xml:space="preserve">ietverot finansējuma samazinājumu</w:t>
            </w:r>
            <w:r w:rsidR="00000000" w:rsidRPr="00000000" w:rsidDel="00000000">
              <w:rPr>
                <w:rtl w:val="0"/>
              </w:rPr>
              <w:t xml:space="preserve">, ņemot vērā Eiropas Savienības kohēzijas politikas programmas 2021.–2027.gadam  (turpmāk - Programma) grozījumu projektu, kas tiek gatavots atbilstoši Finanšu ministrijas sniegtajai informācijai 2023.gada 26.aprīļa Ministru komitejas ES fondu jautājumos sēdē un konceptuāli atbalstītajam lēmumam 2023.gada 8.maija Koalīcijas sadarbības padomes sēdē (atbalstīts priekšlikums veikt finansējuma pārvedumu no Eiropas Savienības kohēzijas politikas programmas 2021.-2027.gadam (Programma) uz Atveseļošanās fonda plāna RePower komponenti  7.1.1.2.i. investīcijas “Atjaunojamo energoresursu iekārtu komponenšu ražošanas un loģistikas kompleksa atbalsta infrastruktūras izveide Rīgas brīvostas teritorijā” (7.1.1.2.i investīcija)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personāla atlīdzības izmaksas, kas ir projekta īstenošanas un vadības personāla atlīdzības izmaksas, tostarp veselības apdrošināšanas, veselības pārbaužu un redzes līdzekļu kompensācijas izmaksas, šo noteikumu 12. punktā noteikto darbību īstenošanai. Izmaksas ir attiecināmas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izteikt 14.1. apakšpunktu piedāvātajā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īstenošanas un vadības personāla atlīdzības izmaksas, kas ir attiecināmas atbilstoši atbildīgās iestādes apstiprinātajai vienkāršoto izmaksu metodikai;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Aija Trizna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14.1. personāla atlīdzības izmaksas, kas ir projekta īstenošanas un vadības personāla atlīdzības izmaksas, tostarp veselības apdrošināšanas, veselības pārbaužu un redzes līdzekļu kompensācijas izmaksas, šo noteikumu 12. punktā noteikto darbību īstenošanai. Izmaksas ir attiecināmas atbilstoši atbildīgās iestādes apstiprinātajai vienkāršoto izmaksu metodikai, kas saskaņota ar vadošo iestādi;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vai noteikumu projekta 14.1.apakšpunktā norādītā vienkāršoto izmaksu metodika tiks apstiprināta līdz atlases izsludināšanai. Attiecīgi lūdzam norādīt, ka gadījumā, ja līdz atlases izsludināšanai vienkāršoto izmaksu metodika nebūs apstiprināta, projekta iesniegumu atlasē netiks veikta personāla atlīdzības izmaksu apmēra pamatotības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Viktorija Boboviča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14.2.4. darba vietas aprīkojuma iegādes vai nomas izmaksas ir attiecināmas projekta vadības un projekta īstenošanas personālam jaunu darba vietu radīšanai vai esošu darba vietu aprīkojuma atjaunošanai, uzturēšanai un remontam ne vairāk kā 3000 </w:t>
            </w:r>
            <w:r w:rsidR="00000000" w:rsidRPr="00000000" w:rsidDel="00000000">
              <w:rPr>
                <w:i w:val="1"/>
                <w:rtl w:val="0"/>
              </w:rPr>
              <w:t xml:space="preserve">euro</w:t>
            </w:r>
            <w:r w:rsidR="00000000" w:rsidRPr="00000000" w:rsidDel="00000000">
              <w:rPr>
                <w:rtl w:val="0"/>
              </w:rPr>
              <w:t xml:space="preserve"> apmērā vienai darba vietai visā projekta īstenošanas laikā (ja projekta vadības un projekta īstenošanas personāls ir nodarbināts pilnu darba laiku, darba vietas aprīkojuma iegādes vai nomas izmaksas ir attiecināmas 100 procentu apmērā; ja projekta vadības un projekta īstenošanas personāls ir nodarbināts nepilnu darba laiku vai daļlaiku, darba vietas aprīkojuma iegādes izmaksas ir attiecināmas proporcionāli atlīdzības procentuālajam sadalījumam un ņemot vērā darbinieka iesaistes periodu projektā pret projekta kopējo īstenošanas ilgumu šo noteikumu 12.13.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šo noteikumu 14.2.4. apakšpunkta redakciju, ņemot vērā, ka nosacījums par darbinieka iesaistes periodu projektā attiecas tikai uz daļlaiku. Šobrīd MK noteikumos iekļauta stingrāka prasība, nekā to paredz VI Vadlīnijas attiecināmo izmaksu noteikšanai (Nr. 1.2.). Saskaņā ar vadlīniju 9.5.punktu darba vietas aprīkojuma izmaksas ir attiecināmas atbilstoši slodzes apmēram – darbiniekiem, kuri strādā normālo darba laiku, aprīkojuma izmaksas ir attiecināmas 100% apmērā, bet nepilna darba laika gadījumā – ņemot vērā attiecīgā darba laika proporciju. Savukārt, saskaņā ar vadlīniju 33.punktu daļlaika gadījumā jāņem vērā darbinieka iesaistes periods projektā pret projekta kopējo īstenošanas ilgumu un daļlaika proporcija darbam projektā.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Pavlovskis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14.2.5. transporta pakalpojumu izmaksas šo noteikumu 12.1., 12.2., 12.3., 12.4, 12.5., 12.6., 12.7., 12.8., 12.9., 12.10., 12.11., 12.12. un 12.13. apakšpunktā minēto atbalstāmo darbību īstenošanai piemērojot vadošās iestādes izstrādāto vienas vienības izmaksu metodiku "Vienas vienības izmaksu standarta likmes aprēķina un piemērošanas metodika 1 km izmaksām darbības programmas “Izaugsme un nodarbinātība” un Eiropas Savienības kohēzijas politikas programmas 2021.- 2027.gadam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šo noteikumu apakšpunktu 12.11. (informatīvo un obligāto publicitātes pasākumu izdevumi ir atrunāti MK noteikumu 14.2.8.apakšpunktā).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Pavlovskis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14.2.6. telpu, materiāltehnisko līdzekļu un aprīkojuma īres vai nomas izmaksas šo noteikumu 12.1., 12.6., 12.7., 12.9., 12.10. un 12.11. apakšpunktā minēto atbalstāmo darbību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dzēst atsauci uz šo noteikumu 12.11. apakšpunktu (informatīvo un obligāto publicitātes pasākumu izdevumi ir atrunāti MK noteikumu 14.2.8.apakšpunktā).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Agris Pavlovskis (CFLA)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IV. Specifiskā atbalsta un projekta īstenošanas nosacījumi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noteikumu projektu ar punktu, ka finansējuma saņēmējs izstrādā kārtību, kā pārliecinās par interešu konflikta, krāpšanas un korupcijas risku neesamību (ievērojot Eiropas Parlamenta un Padomes 2018. gada 18. jūlija regulas  2018/1046, par finanšu noteikumiem, ko piemēro Savienības vispārējam budžetam, ar kuru groza Regulas (ES) Nr. 1296/2013, (ES) Nr. 1301/2013, (ES) Nr. 1303/2013, (ES) Nr. 1304/2013, (ES) Nr. 1309/2013, (ES) Nr. 1316/2013, (ES) Nr. 223/2014, (ES) Nr. 283/2014 un Lēmumu Nr. 541/2014/ES un atceļ Regulu (ES, Euratom) Nr. 966/2012 61.pantā noteikto),  kā arī lūdzam iekļaut prasību, ka tiks izstrādāts apliecinājums par interešu konflikta neesamību, kuru paraksta finansējuma saņēmējs.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Zariņa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anotācijas 3.sadaļas 5.1.apakšpunktu, norādot tādas pašas summas pa gadiem kā 5.punktā.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w:t>
    </w:r>
    <w:r>
      <w:br/>
    </w:r>
    <w:r w:rsidR="00000000" w:rsidRPr="00000000" w:rsidDel="00000000">
      <w:rPr>
        <w:rtl w:val="0"/>
      </w:rPr>
      <w:t xml:space="preserve">Izdrukāts 05.06.2023. 12.45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23-TA-214</w:t>
    </w:r>
    <w:r>
      <w:br/>
    </w:r>
    <w:r w:rsidR="00000000" w:rsidRPr="00000000" w:rsidDel="00000000">
      <w:rPr>
        <w:rtl w:val="0"/>
      </w:rPr>
      <w:t xml:space="preserve">Izdrukāts 05.06.2023. 12.45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Atzinumi_23-TA-214.docx</dc:title>
</cp:coreProperties>
</file>

<file path=docProps/custom.xml><?xml version="1.0" encoding="utf-8"?>
<Properties xmlns="http://schemas.openxmlformats.org/officeDocument/2006/custom-properties" xmlns:vt="http://schemas.openxmlformats.org/officeDocument/2006/docPropsVTypes"/>
</file>