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informatīvā ziņojuma 1.4.punkta sadaļā “Finansējuma pieejamība” (11.lpp.) ietverto informāciju par pašvaldību aizņēmumu kopējo palielinājumu atbilstoši Saeimā pieņemtā likuma “Par valsts budžetu 2025. gadam un budžeta ietvaru 2025., 2026. un 2027. gadam” 17.pantam, kas paredz, ka ikgadējais pašvaldību kopējais aizņēmumu pieļaujamais palielinājums 2025., 2026. un 2027. gadā ir 168 138 258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9.lpp. ir norādīts, ka jaunie ES fiskālie noteikumi būs jāņem vērā sagatavojot likumprojektu “Par valsts budžetu 2025. gadam un budžeta ietvaru 2025., 2026. un 2027. gadam”. Ņemot vērā, ka likumprojekts “Par valsts budžetu 2025. gadam un budžeta ietvaru 2025., 2026. un 2027. gadam” ir jau apstiprināts Saeimā, lūgums precizēt informatīvo ziņojumu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2024.gada 30.aprīlī ir stājušies spēkā ES SIP reformas ietvaros pieņemtie tiesību akti (jaunie ES fiskālie noteikumi), kas līdz ar Fiskālās disciplīnas likuma nosacījumiem tiek ņemti vērā sagatavojot likumprojektu par valsts budžetu kārtējam gadam un vidējā termiņa budžeta ietvaru. Iespējas piešķirt papildu finanšu resursus turpmākajos gados būs ierobežotas un attiecīgi visas nozaru ministrijas tiek aicinātas jaunas prioritātes nodrošināt, pamatā pārskatot jau piešķirto finansējumu, veicot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objektu pielāgošanu civilās aizsardzības patvertņu funkciju nodrošināšanai finansē, ja tiek atbalstīta finansējuma piešķiršana šim mērķim, piesaistot vienu vai abus no zemāk minētajiem iespējamajiem finansēšanas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papildināt/precizēt informatīvo ziņojumu un Ministru kabineta sēdes protokollēmuma projekta 2.punktu saistībā ar paredzēto iespējamo Eiropas Savienības kohēzijas politikas programmas 2021.–2027.gadam (turpmāk – programma) vidusposma pārdaļu finansējuma un EEZ un Norvēģijas instrumentu finansējuma piesaisti patvertņu atjaunošanai vai izveidošanai.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precizēt Ministru kabineta sēdes protokollēmuma 2.punktu paredzot, ka ne tikai ES fondi un EEZ/Norvēģijas fondu piesaiste noteiks patvertņu izbūvi, bet neizslēgt arī potenciāli citus finansējuma avotus, ņemot vērā iezīmēto finansējuma nepieciešamību līdz 2034.gadam, tāpat attīstoties, piemēram, pašvaldību iespējām sniegt atbalstu dzīvojamo māju pielāgošanai patvertņu vajadzībām. Iespējamā redakcija Ministru kabineta sēdes protokollēmuma 2.punktam: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i w:val="1"/>
                <w:rtl w:val="0"/>
              </w:rPr>
              <w:t xml:space="preserve">Noteikt, ka objektu pielāgošanu civilās aizsardzības patvertņu funkciju nodrošināšanai finansē, ja tiek atbalstīta finansējuma piešķiršana šim mērķim. Turpināt darbu pie finansējuma piesaistes, lai nodrošinātu objektu pielāgošanu civilās aizsardzības patvertņu funkciju nodrošināšanai, tajā skaitā Eiropas Ekonomikas zonas un Norvēģijas finanšu instrumentu 2021.–2028.gada plānošanas perioda programmu un Eiropas Savienības kohēzijas politikas programmas 2021.–2027.gadam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vidusposma pārskatu, Finanšu ministrija jau šobrīd strādā pie programmas vidusposma grozījumu izstrādes, t.sk. 2024.gada 31.oktobrī Eiropas Savienības fondu tematiskās komitejā tika panākta konceptuāla vienošanās par vidusposma pārdaļu scenāriju, pieeju un jau atsevišķām pārdalēm (komitejas protokoli pieejami: https://www.mk.gov.lv/lv/eiropas-savienibas-fondu-tematiska-komiteja-0). Vienlaikus minētajā komitejā ministrijas tika aicinātas sniegt arī papildus priekšlikumus finansējuma pārdalēm; no Iekšlietu ministrijas līdz šim nav tikuši virzīti konkrēti priekšlikumi patvertņu izveides finansēšanai ES fondu ietvarā.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EEZ un Norvēģijas instrumentiem, vēršam uzmanību, ka kopējais programmām pieejamais finansējums abu instrumentu ietvaros ir indikatīvi 85 milj. EUR, par kura izlietojumu vēl būs nepieciešams vienoties nacionāli un ar donorvalstīm, ņemot vērā Zilajā grāmatā un EEZ un Norvēģijas instrumentu regulā ietvertos ierobežojumus. Attiecīgi jāņem vērā, ko lūdzam norādīt arī informatīvajā ziņojumā, ka par īstenotajām programmām būs jāvienojas memoranda sarunās.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Iekšlietu ministriju virzīt uz ES fondu komiteju diskusijām konkrētu piedāvājumu ES fondu 2021-2027 pārdalēm, detalizētāk vērtējot un definējot nepieciešamo finansējuma apjomu, iespējamos avotus, ieviešanas shēmu/atbildības un attiecināmību. Aicinājums priekšlikumu veidot zem 5.politikas mērķa. Līdzīgs priekšlikums gatavojams EEZ un Norvēģijas instrumenta finansējuma piesaistei, ievērojot šī instrumenta attiecināmības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Bāliņa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objektu pielāgošanu civilās aizsardzības patvertņu funkciju nodrošināšanai finansē, ja tiek atbalstīta finansējuma piešķiršana šim mērķim, piesaistot vienu vai abus no zemāk minētajiem iespējamajiem finansēšanas avotiem: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2.1. un 2.2. apakšpunktu redakciju,  teikuma sākumā papildinot ar vārdu “Eiropas”.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20.12.2024.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20.12.2024.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