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10. 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ir sasniegts, kad saistībā ar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veloceļu infrastruktūru tiek pabeigti visi projektā paredzētie būvdarbi, kas tiek pamatoti ar iesniegtiem būvdarbu pabeigšanu pamatojošiem dokumentiem saskaņā ar būvniecības jomu reglamentējošajos normatīvajos aktos noteikto kārtību, un objekti ir nodoti ekspluatācijā būvniecības jomu reglamentējošajos normatīvajos aktos noteiktajā kārtībā, un projekts ir pabeigts.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25.8. 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16.01.2024.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16.01.2024.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Atzinumi_23-TA-2619.docx</dc:title>
</cp:coreProperties>
</file>

<file path=docProps/custom.xml><?xml version="1.0" encoding="utf-8"?>
<Properties xmlns="http://schemas.openxmlformats.org/officeDocument/2006/custom-properties" xmlns:vt="http://schemas.openxmlformats.org/officeDocument/2006/docPropsVTypes"/>
</file>