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 līgumu slēgšanas tiesību piešķiršana, lai nodrošinātu piekļuvi publiskām telpām valsts un pašvaldību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izstrādes mērķi ir atļaut projekta iesniegumos norādīt citus finanšu avotus (ne tikai Atveseļošanas un noturības mehānisma finansējumu) projekta sadārdzinājuma segšanai, novērst juridiskās nepilnības ēku piederības jautājumos un precizēt atbalstāmo sociālo ēku sarakstu jeb Investīciju projektu īstenošanas vietas. Ņemot vērā minēto, sadarbības iestāde nenoslēdza līgumus ar potenciālajiem projektu īstenotājiem, bet apstiprināja projektu iesniegumu ar nosacījumiem. Līdz ar to potenciālie projektu īstenotāji ir noslēguši iepirkumu procedūru, bet nav noslēguši līgumu par būvniecības pakalpojumu sniegšanu Ministru kabineta noteikumu Nr.582 iekļautajās sociālajās ēkās. Līgums par pakalpojumu (būvniecības) sniegšanu tiks noslēgts pēc līguma par projekta īstenošanu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potenciālie projektu īstenotāji nevar nodrošināt  Ministru kabineta noteikumu Nr.582  7.2. punktā noteikto, ka līgumu slēgšanas tiesību piešķiršanai, lai nodrošinātu piekļuvi publiskām telpām valsts un pašvaldību ēkās, ir jābūt izpildītai līdz 2022. gada 31. decembrim. Līdz ar to ir nepieciešams arī šajā Ministru kabineta noteikumu projektā risināt jautājumu, kas skar viena no atskaites punkta sasniegšanas periodiem, t.i., pagarināt atskaites punkta, kas noteikts Ministru kabineta noteikumu Nr.582 7.2. punktā, sasniegšanas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vai divu mēnešu laikā no līguma par projekta īstenošanu noslēgšanas, bet ne vēlāk kā līdz 2023. gada 30.jūnijam – līgumu slēgšanas tiesību piešķiršana, lai nodrošinātu piekļuvi publiskām telpām valsts un pašvaldību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finansējuma saņēmējs sagatavo pieprasījumu avansa maksājumam, kurā pamato avansa maksājuma nepieciešamību un apmēru. Avansa maksājumu var pieprasīt veikt vairākos maksājumos un avansa maksājuma daļas saņemšana ir pieļaujama pirms iepriekšējās avansa maksājuma daļas izlietošanas. Avansa maksājuma kopsumma šo 13.1. un 13.2. apakšpunktā minēto finansējuma saņēmēju gadījumā nevar pārsniegt 30 procentus no projekta Atveseļošanas fonda finansējuma apmēra, savukārt šo noteikumu 13.3. un 13.4. apakšpunktā minēto finansējuma saņēmēju gadījumā – nevar pārsniegt 30 procentus no projekta kopējā attiecināmā finansējuma. Avansa maksājums vai avansa maksājuma daļa ir jāapgūst sešu mēnešu laikā no tā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6.punktu dažādiem finansējuma saņēmējiem tiek plānots dažāds avansa maksājuma apmērs, t.i., pašvaldību un kapitālsabiedrību, kas veic pašvaldības funkciju, īstenotajos projektos tā apmērs nevar pārsniegt 30% no projekta Atveseļošanas fonda finansējuma apmēra, savukārt valsts kapitālsabiedrībām – nevar pārsniegt 30% no projekta kopējā attiecināmā finansējuma. Ministru kabineta noteikumu projekta anotācijā nav sniegts skaidrojums šādai pieejai. Šāda diversificēta avansa maksājuma kārtība nav korekta, jo esošajos nestabilajos ekonomiskajos apstākļos, kad preču un pakalpojumu cenas būvniecības nozarē strauji paaugstinās, ir būtiski nodrošināt finanšu resursu pieejamību arī pašvaldībām un to iestādēm. Nodrošinot pašvaldībām iespēju noteikt avansa maksājumu kopsummu 30% apmērā no projekta kopējā attiecināmā finansējuma (kā tas ir jau paredzēts 13.3. un 13.4. apakšpunktā minēto finansējuma saņēmēju gadījumā), projekta avansa maksājumu kopsumma būtiski pieaugtu un nodrošinātu stabilāku projekta finanšu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nodrošināt vienotu pieeju visiem projekta iesniedzējiem un noteikt projekta avansa maksājuma kopsummu līdz 30 procentiem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finansējuma saņēmējs sagatavo pieprasījumu avansa maksājumam, kurā pamato avansa maksājuma nepieciešamību un apmēru. Avansa maksājumu var pieprasīt veikt vairākos maksājumos un avansa maksājuma daļas saņemšana ir pieļaujama pirms iepriekšējās avansa maksājuma daļas izlietošanas. Avansa maksājuma kopsumma šo noteikumu 13. punktā minēto finansējuma saņēmēju gadījumā nevar pārsniegt 30 procentus no projekta kopējā attiecināmā finansējuma. Avansa maksājums vai avansa maksājuma daļa ir jāapgūst sešu mēnešu laikā no tā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MK noteikumu pielikumā 52.punktā 5.sadaļā noteiktā Labklājības nozares valsts pakalpojuma/pašvaldības sociālais pakalpojuma sniedzējs: '</w:t>
            </w:r>
            <w:r w:rsidR="00000000" w:rsidRPr="00000000" w:rsidDel="00000000">
              <w:rPr>
                <w:b w:val="1"/>
                <w:rtl w:val="0"/>
              </w:rPr>
              <w:t xml:space="preserve">Rīgas pašvaldības Bērnu un jauniešu centra struktūrvienība "Krīzes centrs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MK noteikumu pielikumā 52.punktā 10.sadaļā noteikto – Nr. Sociālo pakalpojumu sniedzēju reģistrā - “</w:t>
            </w:r>
            <w:r w:rsidR="00000000" w:rsidRPr="00000000" w:rsidDel="00000000">
              <w:rPr>
                <w:b w:val="1"/>
                <w:rtl w:val="0"/>
              </w:rPr>
              <w:t xml:space="preserve">Ir - 30</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25.01.2023.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25.01.2023.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