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Finansējumu šī protokollēmuma 6.3. apakšpunktā paredzētā vienotā risinājuma un datu aprites pieslēgumu Datu izplatīšanas un pārvaldības platformai DAGR izveidei paredzēt no Vides aizsardzības un reģionālās attīstības ministrijas administrētās Eiropas Savienības Atveseļošanas un noturības mehānisma plāna 2. komponentes "Digitālā transformācija" 2.1. reformu un investīciju virziena "Valsts pārvaldes, t. sk. pašvaldību digitālā transformācija" un no Eiropas Savienības kohēzijas politikas programmas 2021. - 2027. gadam 1.3.1. specifiskā atbalsta mērķa  “Izmantot digitalizācijas priekšrocības  iedzīvotājiem, uzņēmumiem, pētniecības organizācijām un publiskajām iestādēm” 1.3.1.1. pasākuma “IKT risinājumu un pakalpojumu attīstība un iespēju radīšana privātajam sektoram”.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7.punktu, norādot finansējuma apmēru, kas tiks paredzēts vienotā risinājuma un datu aprites pieslēgumu Datu izplatīšanas un pārvaldības platformai DAGR izveidei.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“Vienotā datu koplietošanas platforma publiskā sektora un tautsaimniecības datu koplietošanai nacionāli un Eiropas datu telpas ietvaros, t.sk. ieviešot risinājumus datu depersonalizācijai, kā arī personas pārvaldītai un kontrolētai datu koplietošanai” centralizētā funkcija vai koplietošanas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ja attiecināms, precizēt attīstības plāna 6.punktā datumu, kad tiks izskatīti DAGR noteikumi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18.04.2023.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18.04.2023.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Atzinumi_22-TA-3831.docx</dc:title>
</cp:coreProperties>
</file>

<file path=docProps/custom.xml><?xml version="1.0" encoding="utf-8"?>
<Properties xmlns="http://schemas.openxmlformats.org/officeDocument/2006/custom-properties" xmlns:vt="http://schemas.openxmlformats.org/officeDocument/2006/docPropsVTypes"/>
</file>