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tādu likumprojektu virzība, kuru īstenošanai nav nodrošināts finansējums. Ņemot vērā, ka likumprojektā paredzētās funkcijas veikšanai attiecībā uz arestēto kapitālsabiedrības vai kooperatīvās sabiedrības kapitāla daļu (akciju) vai paju pārvaldīšanu Ekonomikas ministrijai ir nepieciešams papildu finansējums 2025., 2026. un 2027.gadam 1 659 000 euro apmērā ik gadu, </w:t>
            </w:r>
            <w:r w:rsidR="00000000" w:rsidRPr="00000000" w:rsidDel="00000000">
              <w:rPr>
                <w:u w:val="single"/>
                <w:rtl w:val="0"/>
              </w:rPr>
              <w:t xml:space="preserve">likumprojekts virzāms izskatīšanai Ministru kabinetā un arī Ekonomikas ministrija nosakāma par</w:t>
            </w:r>
            <w:r w:rsidR="00000000" w:rsidRPr="00000000" w:rsidDel="00000000">
              <w:rPr>
                <w:rtl w:val="0"/>
              </w:rPr>
              <w:t xml:space="preserve"> arestēto kapitālsabiedrības vai kooperatīvās sabiedrības kapitāla daļu (akciju) vai paju </w:t>
            </w:r>
            <w:r w:rsidR="00000000" w:rsidRPr="00000000" w:rsidDel="00000000">
              <w:rPr>
                <w:u w:val="single"/>
                <w:rtl w:val="0"/>
              </w:rPr>
              <w:t xml:space="preserve">pārvaldīšanas funkcijas īstenotāju tika pēc tam,</w:t>
            </w:r>
            <w:r w:rsidR="00000000" w:rsidRPr="00000000" w:rsidDel="00000000">
              <w:rPr>
                <w:rtl w:val="0"/>
              </w:rPr>
              <w:t xml:space="preserve"> kad likumprojekta “Par valsts budžetu 2025.gadam un budžeta ietvaru 2025., 2026. un 2027.gadam” sagatavošanas procesā Ministru kabinetā </w:t>
            </w:r>
            <w:r w:rsidR="00000000" w:rsidRPr="00000000" w:rsidDel="00000000">
              <w:rPr>
                <w:u w:val="single"/>
                <w:rtl w:val="0"/>
              </w:rPr>
              <w:t xml:space="preserve">tiktu atbalstīts attiecīgais Ekonomikas ministrijas prioritārā pasākuma pieteikums un piešķirts nepieciešamais finansējums,</w:t>
            </w:r>
            <w:r w:rsidR="00000000" w:rsidRPr="00000000" w:rsidDel="00000000">
              <w:rPr>
                <w:rtl w:val="0"/>
              </w:rPr>
              <w:t xml:space="preserve"> attiecīgi precizējot arī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"Attīstības finanšu institūcija Altum" vērš uzmanību Tieslietu ministrijai, ka regulējums paredz, ka SIA "Publisko aktīvu pārvaldītājs Possessor" nodrošinās arestēto kapitāla daļu (akciju) vai paju pārvaldīšanas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izpildes nodrošināšana neparedz vairākus - alternatīvus pārvaldītājus, lūdzam skaidrot, kāda būs rīcība gadījumā, ja situācijā, kad procesa virzītāja izmantos likumprojektā paredzētās tiesības atcelt arestēto kapitāla daļu (akciju) vai paju pārvaldnieku, ja viņš nepilda vai negodprātīgi pilda likumā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Fomina (ALTUM)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virzīšanas stadijā 3. anotācijas sadaļu "Tiesību akta projekta ietekme uz valsts budžetu un pašvaldību budžetiem" pie "Cita informācija" papildināt ar indikatīvo ietekmi uz vispārējās valdības budžeta bilanci atbilstoši Eiropas Savienības nacionālo un reģionālo kontu metodoloģijai, ņemot vērā to, ka  SIA “Publisko aktīvu pārvaldītājs Possessor” ir klasificēta vispārējās valdības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attiecībā uz vienotu "</w:t>
            </w:r>
            <w:r w:rsidR="00000000" w:rsidRPr="00000000" w:rsidDel="00000000">
              <w:rPr>
                <w:i w:val="1"/>
                <w:rtl w:val="0"/>
              </w:rPr>
              <w:t xml:space="preserve">euro</w:t>
            </w:r>
            <w:r w:rsidR="00000000" w:rsidRPr="00000000" w:rsidDel="00000000">
              <w:rPr>
                <w:rtl w:val="0"/>
              </w:rPr>
              <w:t xml:space="preserve">" pieraksta atveidošanu visā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Jurševiča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10.11.2023.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10.11.2023.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