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trīs gadu periodā, ieskaitot kārtējo gadu, par kuru aprēķināta nomas maksa, jāsasniedz sertificēta vērtētāja noteiktā zemesgabala tirgus nomas maksa. Ja saskaņā ar Publiskas personas finanšu līdzekļu un mantas izšķērdēšanas novēršanas likuma 6.(1</w:t>
            </w:r>
            <w:r w:rsidR="00000000" w:rsidRPr="00000000" w:rsidDel="00000000">
              <w:rPr>
                <w:vertAlign w:val="superscript"/>
                <w:rtl w:val="0"/>
              </w:rPr>
              <w:t xml:space="preserve">1</w:t>
            </w:r>
            <w:r w:rsidR="00000000" w:rsidRPr="00000000" w:rsidDel="00000000">
              <w:rPr>
                <w:rtl w:val="0"/>
              </w:rPr>
              <w:t xml:space="preserve">) pantu ir iestājies noteiktais termiņš, tiek veikta zemesgabala nomas maksas pārskatīšana.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pārskatītā tirgus nomas 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precizēto noteikumu projekta 64.punktu un to salāgot ar anotācijā norādīto informāciju attiecībā par Ministru kabineta 2011. gada 6. septembra noteikumu Nr. 696 "Zemes dzīļu izmantošanas licenču un bieži sastopamo derīgo izrakteņu ieguves atļauju izsniegšanas kārtība, kā arī publiskas personas zemes iznomāšanas kārtība zemes dzīļu izmantošanai"" 64.punktu.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noteikumu (grozījumu) projekta 64.punktā minēto piebildi: "</w:t>
            </w:r>
            <w:r w:rsidR="00000000" w:rsidRPr="00000000" w:rsidDel="00000000">
              <w:rPr>
                <w:i w:val="1"/>
                <w:rtl w:val="0"/>
              </w:rPr>
              <w:t xml:space="preserve">Ja saskaņā ar Publiskas personas finanšu līdzekļu un mantas izšķērdēšanas novēršanas likuma 6.(1</w:t>
            </w:r>
            <w:r w:rsidR="00000000" w:rsidRPr="00000000" w:rsidDel="00000000">
              <w:rPr>
                <w:i w:val="1"/>
                <w:vertAlign w:val="superscript"/>
                <w:rtl w:val="0"/>
              </w:rPr>
              <w:t xml:space="preserve">1</w:t>
            </w:r>
            <w:r w:rsidR="00000000" w:rsidRPr="00000000" w:rsidDel="00000000">
              <w:rPr>
                <w:i w:val="1"/>
                <w:rtl w:val="0"/>
              </w:rPr>
              <w:t xml:space="preserve">) pantu ir iestājies noteiktais termiņš, tiek veikta zemesgabala nomas maksas pārskatīšana",</w:t>
            </w:r>
            <w:r w:rsidR="00000000" w:rsidRPr="00000000" w:rsidDel="00000000">
              <w:rPr>
                <w:rtl w:val="0"/>
              </w:rPr>
              <w:t xml:space="preserve"> ņemot vērā, ka anotācijā norādīts, ka </w:t>
            </w:r>
            <w:r w:rsidR="00000000" w:rsidRPr="00000000" w:rsidDel="00000000">
              <w:rPr>
                <w:i w:val="1"/>
                <w:rtl w:val="0"/>
              </w:rPr>
              <w:t xml:space="preserve">tādējādi līdz 2026. gada 31. decembrim </w:t>
            </w:r>
            <w:r w:rsidR="00000000" w:rsidRPr="00000000" w:rsidDel="00000000">
              <w:rPr>
                <w:b w:val="1"/>
                <w:i w:val="1"/>
                <w:rtl w:val="0"/>
              </w:rPr>
              <w:t xml:space="preserve">pilnīgi visi līgumi būs sasnieguši pilnu tirgus nomas maksu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Publiskas personas finanšu līdzekļu un mantas izšķērdēšanas novēršanas likumā nav 6.(1</w:t>
            </w:r>
            <w:r w:rsidR="00000000" w:rsidRPr="00000000" w:rsidDel="00000000">
              <w:rPr>
                <w:vertAlign w:val="superscript"/>
                <w:rtl w:val="0"/>
              </w:rPr>
              <w:t xml:space="preserve">1</w:t>
            </w:r>
            <w:r w:rsidR="00000000" w:rsidRPr="00000000" w:rsidDel="00000000">
              <w:rPr>
                <w:rtl w:val="0"/>
              </w:rPr>
              <w:t xml:space="preserve">) panta, līdz ar to, lūdzam attiecīgi minēto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atbalstu nepiešķir, ja nomniekam ar tiesas spriedumu ir pasludināts maksātnespējas process, ar tiesas spriedumu tiek īstenots tiesiskās aizsardzības process vai ar tiesas lēmumu tiek īstenots ārpustiesas tiesiskās aizsardzības process, ir uzsākta bankrota procedūra, piemērota sanācija vai mierizlīgums vai kura saimnieciskā darbība ir izbeigta, vai tas atbilst valsts tiesību aktos noteiktajiem kritērijiem, lai tam pēc kreditoru pieprasījuma piemērotu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65.1. apakšpunktā ietvertais nosacījums tā pašreizējā redakcijā ir novecojis. Skaidrojam, ka atbilstoši Tieslietu ministrijas sniegtajai informācijai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Atbilstoši aicinām precizēt MK noteikumu 65.1.apakšpunktu un izteikt to,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atbalstu nepiešķir, ja nomniekam ir ierosināta tiesiskās aizsardzības procesa lieta, tiek īstenots tiesiskās aizsardzības process vai tam pasludināts maksātnespējas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piesakoties uz </w:t>
            </w:r>
            <w:r w:rsidR="00000000" w:rsidRPr="00000000" w:rsidDel="00000000">
              <w:rPr>
                <w:i w:val="1"/>
                <w:rtl w:val="0"/>
              </w:rPr>
              <w:t xml:space="preserve">de minimis</w:t>
            </w:r>
            <w:r w:rsidR="00000000" w:rsidRPr="00000000" w:rsidDel="00000000">
              <w:rPr>
                <w:rtl w:val="0"/>
              </w:rPr>
              <w:t xml:space="preserve"> atbalstu iznomātājs pārbauda un nomnieks ievēro nozaru un darbību ierobežojumus, kas minēti Komisijas regulas Nr. 2023/2831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piemērotājam skaidrāku normu, tās korektai piemērošanai aicinām izteikt MK noteikumu 65.3. apakšpunktu,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de minimis atbalstu saskaņā ar Komisijas regulu Nr.2023/2831 piešķir, ievērojot Komisijas regulas Nr.2023/2831 1.panta 1.punktā minētos nozaru un darbību ierobežojumus. Ja nomnieks vienlaikus darbojas vienā vai vairākās Komisijas regulas Nr.2023/2831 1.panta 1.punkta a), b), c) un d) apakšpunktā minētajās nozarēs, atbalstu drīkst piešķirt tikai tad, ja nomnieks nodrošina šo nozaru darbību vai uzskaites nodalīšanu, lai saskaņā ar Komisijas regulas Nr.2023/2831 1.panta 2.punktu darbības izslēgtajās nozarēs negūst labumu no de minimis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iesniedzot iznomātājam pieteikumu par</w:t>
            </w:r>
            <w:r w:rsidR="00000000" w:rsidRPr="00000000" w:rsidDel="00000000">
              <w:rPr>
                <w:i w:val="1"/>
                <w:rtl w:val="0"/>
              </w:rPr>
              <w:t xml:space="preserve">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atbalsta piešķiršanu, nomnieks iesniedz dokumentus, kas pierāda un apliecina, ka pirms </w:t>
            </w:r>
            <w:r w:rsidR="00000000" w:rsidRPr="00000000" w:rsidDel="00000000">
              <w:rPr>
                <w:i w:val="1"/>
                <w:rtl w:val="0"/>
              </w:rPr>
              <w:t xml:space="preserve">de minimis</w:t>
            </w:r>
            <w:r w:rsidR="00000000" w:rsidRPr="00000000" w:rsidDel="00000000">
              <w:rPr>
                <w:rtl w:val="0"/>
              </w:rPr>
              <w:t xml:space="preserve"> atbalsta piešķiršanas,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nomnieka saņemtais </w:t>
            </w:r>
            <w:r w:rsidR="00000000" w:rsidRPr="00000000" w:rsidDel="00000000">
              <w:rPr>
                <w:i w:val="1"/>
                <w:rtl w:val="0"/>
              </w:rPr>
              <w:t xml:space="preserve">de minimis</w:t>
            </w:r>
            <w:r w:rsidR="00000000" w:rsidRPr="00000000" w:rsidDel="00000000">
              <w:rPr>
                <w:rtl w:val="0"/>
              </w:rPr>
              <w:t xml:space="preserve"> atbalsta apjoms kopā ar plānoto nepārsniedz Komisijas regulas Nr. 2023/2831 3. panta 2. punktā noteikto maksimālo atbalsta summu vienam vienotam uzņēmumam. Viens vienots uzņēmums šo noteikumu izpratnē atbilst Komisijas regulas Nr. 2023/2831 2. panta 2. punktā noteiktajai viena vienota uzņēmuma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Nr. 2023/2831 par Līguma par Eiropas Savienības darbību 107. un 108. panta piemērošanu de minimis atbalstam (turpmāk - Komisijas regulas Nr. 2023/2831) 3.panta 2.punktā noteiktajam, atbalsta sniedzējam ir pienākums pārbaudīt piešķirtā atbalsta apjomu, nevis faktiski saņemto atbalsta apjomu, kas var atšķirties no juridiski piešķirtā apjoma. Papildus, lai novērstu nekorektas interpretācijas risku, Komisijas regulas Nr. 2023/2831 3. panta 2. punktā noteiktā prasība tiek nodrošināta tikai pašapliecinājuma formā un netiek pārbaudīta no atbalsta sniedzēja puses, lūdzam MK noteikumu 65.4. apakšpunktu, izsakot to, piemēram,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pēdējo trīs gadu periodā, skaitot no de minimis atbalsta piešķiršanas dienas, nomniekam piešķirtais de minimis atbalsta apjoms kopā ar plānoto nepārsniedz Komisijas regulas Nr. 2023/2831 3. panta 2. punktā noteikto maksimālo atbalsta summu vienam vienotam uzņēmumam. Viens vienots uzņēmums šo noteikumu izpratnē atbilst Komisijas regulas Nr. 2023/2831 2. panta 2. punktā noteiktajai viena vienota uzņēmuma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29.04.2024.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29.04.2024.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