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nosaukumu, atbilstoši Eiropas Savienības kohēzijas politikas programmā 2021.–2027.gadam apstiprinātajam.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un/vai anotāciju ar informāciju par 4.3.1.2. pasākuma ieguldījumu sinerģiju, papildinātību ar ES un citiem atbalsta instrumentiem, piemēram, Atveseļošanas un noturības mehānisma investīcijām, norādot, kā tiks nodrošināta demarkācija un dubultfinansējuma riska novēršana gadījumos, kad no dažādiem finanšu avotiem tiks atbalstītas vienas un tās pašas vai līdzīgas atbalstāmās darbības, piemēram ar 3.1.2.3.i. "Ilgstošas sociālās aprūpes pakalpojuma noturība un nepārtrauktība: jaunu ģimeniskai videi pietuvinātu aprūpes institūciju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Programmas 4.3.1. SAM aprakstā ir minēta sinerģija ar 4.3.5. SAM, ka pēc ERAF ieguldījumu veikšanas plānoti secīgi ESF+ ieguldījumi izveidoto sociālo pakalpojumu sniedzēju speciālistu apmācībai sabiedrībā balstītu un ģimeniskai videi pietuvinātu pakalpojumu sniegšanai, sabiedrībā balstītu sociālo pakalpojumu sniegšanai jaunizveidotajā infrastruktūrā un sniegto pakalpojumu kvalitātes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2024. gada 31. decembrim – nacionālais rādītājs – izvēlētas un saskaņotas vietas jaunu vai modernizētu sociālās aprūpes iestāžu izveidei – 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rādītājs "izvēlētas un saskaņotas vietas jaunu vai modernizētu sociālās aprūpes iestāžu izveidei" ir "iznākuma rādītājs", nevis "nacionālais rādītājs", ņemot vērā, ka tas ir Programmā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šim rādītājam norādīt arī līdz 2029. gada 31. decembrim sasniedzamo vērtību, atbilstoši Programmā apstiprinātam - 10.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 šādas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attiecināmās personāla atlīdzības izmaksas – projekta vadības un īstenošanas personāla atlīdzības izmaksas, tai skaitā veselības apdrošināšanas izmaksas un redzes korekcijas līdzekļu kompensācijas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dzēst vārdus: "tai skaitā veselības apdrošināšanas izmaksas un redzes korekcijas līdzekļu kompensācijas izmaksas", tā kā izmaksu tvērums ir noteikts VI vadlīnijās Nr. 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žūrijas komisijas darbības un atlīdzības un godalgu izmaksas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projekta īstenošanu pamatojošās dokumentācijas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un pamatotu skaidrojumu par noteikumu projekta 16.2.2. punktā un 18.2. apakšpunktā noteikto žūrijas komisijas darbību un atlīdzības, un godalgu izmaksu, kas tiek noteiktas kā tiešās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darba vietas aprīkojuma iegādei vai nomai, tai skaitā aprīkojuma uzturēšanai un remontam, finansējuma saņēmēja projekta īstenošanas un vadības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gadījumā,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darba vietas aprīkojuma iegādei vai nomai, tai skaitā aprīkojuma uzturēšanai un remontam, finansējuma saņēmēja projekta īstenošanas un vadības personālam jaunu darba vietu radīšanai </w:t>
            </w:r>
            <w:r w:rsidR="00000000" w:rsidRPr="00000000" w:rsidDel="00000000">
              <w:rPr>
                <w:shd w:fill="#f1c40f" w:val="clear"/>
                <w:rtl w:val="0"/>
              </w:rPr>
              <w:t xml:space="preserve">vai gadījumā, ja esošo darba vietas aprīkojums ir nolietojies un tiek norakstīts,</w:t>
            </w:r>
            <w:r w:rsidR="00000000" w:rsidRPr="00000000" w:rsidDel="00000000">
              <w:rPr>
                <w:rtl w:val="0"/>
              </w:rPr>
              <w:t xml:space="preserve"> ne vairāk kā 3 000 euro apmērā vienai darba vietai visā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kopējās izmaksas ir virs 5 milj. EUR, lūdzam MK noteikumu 21.punktā skaidri papildināt ar nosacījumu "ja vien tas nav atgūstams saskaņā ar valsts tiesību aktiem nodokļu jomā" (kā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r w:rsidR="00000000" w:rsidRPr="00000000" w:rsidDel="00000000">
              <w:rPr>
                <w:shd w:fill="#f1c40f" w:val="clear"/>
                <w:rtl w:val="0"/>
              </w:rPr>
              <w:t xml:space="preserve">, ja vien tas nav atgūstams saskaņā ar valsts tiesību aktiem nodokļu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 – 2027. gada plānošanas periodā, nodrošinot avansa un starpposma maksājumu kopsummu 100 procentu apmērā no projekta apstiprinātā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22.punktu, nosakot kārtību, kādā jāizlieto piešķirtais avansa apmērs un viena avansa maksājuma procentuālo apmēru. Papildus lūdzam sniegt anotācijā izvērstu skaidrojumu par nepieciešamību noteikt avansa un starpposma maksājumu kopsummu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piesaista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nepieciešamo personālu vai īsteno publiskos iepirkumus, nodrošinot, ka projekta īstenošanas laikā tiek ievēroti interešu konflikta, korupcijas un krāpšanas novēršanas nosacījumi, vismaz paredzot, ka projekta vadībā un īstenošanā iesaistītais personāls un iepirkumu līgumu izpildītāji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papildinātu noteikumu projekta 30.4. apakšpunktu, minētos pienākumus un darbības attiecinot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nodrošina projekta rezultātu ilgtspēju vismaz piecus gadus pēc noslēguma maksājuma veikšanas finansējuma saņēmējam,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30.14.apakšpunktā svītrot tekstu aiz vārdiem “pēc noslēguma maksājuma veikšanas finansējuma saņēmējam”, jo nav jādublē normas, kas noteiktas spēkā esošajos normatīvajos aktos par valsts budžeta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nodrošina projekta rezultātu ilgtspēju vismaz piecus gadus pēc noslēguma maksājuma veikšanas finansējuma saņēmējam,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aktivitātes ietvaros tiek paredzēti ieguldījumi infrastruktūrā, kā arī anotācijā skaidroto, ka pasākuma ietvaros īstenotajām darbībām nav saimnieciska rakstura, lūdzam nodrošināt, ka visā aktivitātes ietvaros radītās infrastruktūras ekspluatācijas laikā tiek nodrošināts, ka infrastruktūra netiek izmantota saimnieciskās darbības veikšanai un par to ir nodrošināta atbilstoša uzraudzība. Vēršam uzmanību, ka līdzīgus nosacījumus Labklājības ministrija jau ir ietvērusi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MK noteikumu projektā noteikt, ka gadījumā, ja pasākuma ietvaros izveidojamā sabiedrībā balstītu sociālo pakalpojumu infrastruktūra projekta īstenošanas laikā vai projekta dzīves cikla laikā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 Ar atbilstošu skaidrojumu par projektu uzraudzību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"Risinājuma apraksts" pēdējo rindkopu ar pilnu informāciju par dalījumu pa intervences kategorijām (Intervences laukums, Finansējuma veids, Teritoriālie sasniegšanas mehānismi, ESF+ sekundārās tēmas un Dzimumu līdztiesība), norādot intervences kodus un tam piemērojamo pasākuma fondu finansējuma apjomu, atbilstoši Programmā un tā papildinājumā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30.14.apakšpunktā paredzēto par projekta rezultātu ilgtspējas nodrošināšanu, lūdzam papildināt anotācijas 3.sadaļu ar informāciju par izdevumu pozīcijām, kādām ir nepieciešams valsts budžeta finansējums projekta rezultātu ilgtspējas nodrošināšanai, tai skaitā sniedzot detalizētus aprēķinus un pamatojot, kāpēc rezultātu uzturēšana ir nodrošināma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apakšpunktu izteikt sekojošā redakcijā: "prasības Eiropas Reģionālās attīstības fonda projekta (turpmāk - projekts) iesniedzējam, finansējuma saņēmējam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būvniecība, teritorijas labiekārtošana, būvekspertīze, būvuzraudzība, autoruzraudzība, energosertifikācija un energoaudits;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ir paredzēts veikt pārbūvi vai atjaunošanu (modernizējot jau esošu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atbalstāmās darbības, nodrošinot savstarpēji saskaņotu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Burova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informācijas un publicitātes pasākumi par projekta īstenošanu, kā arī vizuālās identitātes prasību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 normatīvos aktus un noteikto vienoto praksi, lūdzam lietot jēdzienu "komunikācijas un vizuālās identitātes prasību nodrošināšanas nosacījumi", un pēc nepieciešamības precizēt noteikumu projekta 16.2.1.punktu un 30.6.apakšpunktu.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informācijas un publicitātes pasākumu nodrošināšanu (komunikācijas un vizuālās identitātes prasību nodrošināšanas nosacījumu ievērošanu), norādīt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aprēķina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nosacījumu ka žūrijas komisijas dalībnieki, pirms pieteikuma izvērtēšanas, izvērtēja un parakstīja apliecinājumu, ka nav saistīti ar labuma guvēju likuma “Par interešu konflikta novēršanu valsts amatpersonu darbībā” izpratnē un Regulas (ES) Nr. 2018/1046 61.panta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16.2.4. 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aprēķina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un citiem teritorijas un būves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noteikts: "Teritorijas labiekārtošanas darbi papildus minimālajām prasībām ir vērtējami pēc nepieciešamības un ekonomiskā samērīguma projekta budžeta ietvaros", aicinām  izvērtēt un  teritorijas labiekārtošanas darbiem noteikt procentuālo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Burova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var paredzēt transporta pakalpojumu izmaksas (transportlīdzekļa noma, transporta pakalpojumu pirkšana).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18.6. apakšpunkta iekavas ar vārdiem "maksa par 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saņēmēja izvēlēts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tiek izvēlēts pakalpojuma sniedzējs, t.i., vai tas tiek izvēlēts uz iepirkumu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saņēmēja piesaistīts pakalpojuma sniedzējs veic telpu aprīkošanai nepieciešamā materiāltehniskā nodrošinājuma iegādi, tai skaitā mēbeļu, datoru, datorprogrammatūras, tehnisko palīglīdzekļu un citu nepieciešamo ierīču un materiālu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materiāltehniskā nodrošinājuma uzskaitījumu, piemēram, norādot vai atbalstāma santehnika uzstādīšana, virtuves sadzīves tehnika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Burova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zaļo publisko iepirkumu, lai veicinātu Eiropas Zaļā kursa un klimata pārmaiņu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novērš dubultfinansēšanas riskus un nodrošina, ka projekta ietvaros atbalstāmās darbības un to izmaksas nav finansētas, netiek finansētas vai līdzfinansētas, kā arī tās nav plānots finansēt vai līdzfinansēt no citiem valsts, pašvaldības vai ārvalstu finanšu palīdzības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lai nodrošinātu, ka projekta īstenošanas laikā tiek ievēroti interešu konflikta, korupcijas un krāpšanas novēršanas nosacījumi, tiks izstrādāta kārtība, kādā pārliecinās par minēto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nodrošina informācijas un publicitātes, kā arī vizuālās identitātes pasākumus atbilstoši regulas Nr. 2021/1060 47. un 50. pantam  un kārtībai,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30.6. apakšpunktu, aizstājot vārdus un skaitļus "un kārtību, kādā Eiropas Savienības fondu vadībā iesaistītās institūcijas nodrošina šo fondu ieviešanu 2021.–2027. gada plānošanas periodā" ar vārdiem un skaitļiem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uzkrāj datus par šādu horizontālā principa "Vienlīdzība, iekļaušana, nediskriminācija un pamattiesību ievērošana" horizontālo rādītāju – objektu skaits, kuros ar Eiropas Reģionālā attīstības fonda ieguldījumiem ir nodrošināta vides un informācijas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MK noteikumos iekļauj prasības FS horizontālo principu (turpmāk – HP) “Vienlīdzība, iekļaušana, nediskriminācija un pamattiesību ievērošana”, “Klimatdrošināšana” , “Energoefektivitāte pirmajā vietā”  un “Nenodarīt būtisku kaitējumu”  piemērošanai. Tiešas ietekmes uz HP “Vienlīdzība, iekļaušana, nediskriminācija un pamattiesību ievērošana” gadījumā MK noteikumos iekļauj vismaz divus rādītājus, kur rādītājiem nenosaka sasniedzamās vērtības, bet pienākumu uzkrāt un ziņot aktuālās vērtības. Šobrīd MK noteikumu projektā ir paredzēts uzkrāt datus tikai par vienu HP “Vienlīdzība, iekļaušana, nediskriminācija un pamattiesību ievērošana” rādītāju, lūdzam papildināt MK noteikumu projektu ar otru HP “Vienlīdzība, iekļaušana, nediskriminācija un pamattiesību ievērošana”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ieguldījumi plānoti saskaņā ar Jauno Eiropas Bauhaus iniciatīvu, ņemot vērā, ka noteikumu projekts paredz ieguldījumus jaunā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konkrētiem attiecīgās prioritātes un fonda specifisko atbalsta mērķi, kuru ietvaros tiks noteikts elastības finansējums saskaņā ar Finanšu ministrijas 1.4.vadlīnijām "Vadlīnijas Ministru kabineta noteikumu par specifiskā atbalsta mērķa īstenošanu izstrādei Eiropas Savienības fondu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punkta "Problēmas apraksts" otrajā rindkopā skaitļus un vārdus "2014.-2020.gada ES fondu" aizstāt ar vārdiem un skaitļiem "ES struktūrfondu un Kohēzijas fondu 2014.-2020.gada plānošanas periodā, kā arī anotācijas turpmākajā tekstā, kur attiecināms. Vienlaicīgi lūdzam arī aizstāt skaitļus un vārdus "2021. – 2027. gada plānošanas perioda ES fondu" ar skaitļiem un vārdiem "ES fondu 2021. – 2027. gada plānošanas perioda" anotācijas 1.3. punkta "Risinājuma apraksts" pirmajā rindkopā kā arī turpmākajā anotācijas tekstā,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spēkā esošajiem normatīvajiem aktiem pieprasījumu apropriācijas izmaiņām sniedz ministrijas, lūdzam precizēt anotācijas 3.sadaļas punktā “Cita informācija” sniegto informāciju, vārdu “sadarbības iestāde” vietā lietojot vārdus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sniegto informāciju (izņemot pēdējo rindkopu) pārcelt uz minētās sadaļas 6.punktu “Detalizēts ieņēmumu un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 5. un 7.ailes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ministriju, kuras budžeta ietvaros tiks plānots noteikumu projektā 4.3.1.2.pasākumam paredzētais finansējums, vienlaikus norādot attiecīgo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5.1. punktā "ES tiesību akta datums, izdevējinstitūcija, numurs, veids un nosaukums" aizstāt vārdus un skaitļus "Eiropas Parlamenta un Padomes 2021. gada 24. jūnija Regula Nr. 2021/1060" ar vārdiem un skaitļiem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2021/106)" , kā arī anotācijas 5.4. 1. tabulā "Tiesību akta projekta atbilstība ES tiesību aktiem", kā arī aizstāt vārdus un skaitļu "Eiropas Parlamenta un Padomes regula Nr. 2018/1046" ar vārdiem un skaitļiem "Eiropas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7.1. punkts "Projekta izpildē iesaistītās institūcijas" ir papildināms ar "Labklājības ministrija" un "Centrālā finanšu un līgumu aģentūra", ja attiecināms, lūdzam veikt atbilstoši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14.08.2023.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14.08.2023.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