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6. izglītības pakalpojumu sniedzējs var apliecināt, ka tā rīcībā ir pieejama pašvadītas pieejas atbilstošā un izglītības programmu cikla īstenošanai nepieciešamā vide, resursi un kapacitāte, lai iesaistītu mācībās vismaz 200 unikālās personas (no kurām vismaz 30% ir sievietes), un iesniedz to pamatojošus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iekļautā kvantitatīvā rādītāja pamatotību - ņemot vērā, ka IT nozares mācībās ir salīdzinoši augsts dalībnieku skaits, kā arī specifiskām mērķa grupām tiek veidoti individualizēti risinājumi/pieejas. Šāda kvantitatīvā rādītāja izvirzīšana ir iespējama, taču vienlaikus tas būtiski ietekmē izglītības pakalpojuma diferencēšanas iespējamību.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rādītājs iekļauts kā pakalpojumu sniedzēja atlases procesa kritērijs, atkārtoti aicinām izvērtēt tā nepieciešamību un iespējamo ietekmi uz kvalitatīvo mācību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14.03.2025. 22.51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14.03.2025. 22.51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Atzinumi_25-TA-61.docx</dc:title>
</cp:coreProperties>
</file>

<file path=docProps/custom.xml><?xml version="1.0" encoding="utf-8"?>
<Properties xmlns="http://schemas.openxmlformats.org/officeDocument/2006/custom-properties" xmlns:vt="http://schemas.openxmlformats.org/officeDocument/2006/docPropsVTypes"/>
</file>