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minētās atbalstāmās darbības īstenošanai var paredzēt izmaksas biroja mēbeļu un biroja tehnikas iegādei un remontam;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ka noteikumu projekta 17.5. apakšpunktā minētās izmaksas, iespējams, daļēji dublē noteikumu projekta 17.2. apakšpunktā ietverto regulējumu. Attiecīgi iesakām izvērtēt, vai noteikumu projekta 17.5. apakšpunkts ir izteikts atbilstoši Ministru kabineta 2009. gada 3. februāra noteikumu Nr. 108 "Normatīvo aktu projektu sagatavošanas noteikumi" 3.2. un 3.3. apakšpunktam un neatbilstības gadījumā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28.06.2023.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28.06.2023.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