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 nodrošina komunikācijas un vizuālās identitātes prasības saskaņā ar regulas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28.6. apakšpunktā norādīta atsauce uz nesaistošiem dokumentiem (vadlīnijām). Ņemot vērā minēto, lūdzam noteikumu projekta 28.6. apakšpunktā svītrot atsauci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komunikācijas un vizuālās identitātes prasības saskaņā ar regulas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28.03.2025. 10.37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28.03.2025. 10.37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Atzinumi_25-TA-641.docx</dc:title>
</cp:coreProperties>
</file>

<file path=docProps/custom.xml><?xml version="1.0" encoding="utf-8"?>
<Properties xmlns="http://schemas.openxmlformats.org/officeDocument/2006/custom-properties" xmlns:vt="http://schemas.openxmlformats.org/officeDocument/2006/docPropsVTypes"/>
</file>