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septembra noteikumos Nr. 512 "Eiropas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w:t>
            </w:r>
            <w:r w:rsidR="00000000" w:rsidRPr="00000000" w:rsidDel="00000000">
              <w:rPr>
                <w:rtl w:val="0"/>
              </w:rPr>
              <w:t xml:space="preserve">20.</w:t>
            </w:r>
            <w:r w:rsidR="00000000" w:rsidRPr="00000000" w:rsidDel="00000000">
              <w:rPr>
                <w:rtl w:val="0"/>
              </w:rPr>
              <w:t xml:space="preserve"> punktā</w:t>
            </w:r>
            <w:r w:rsidR="00000000" w:rsidRPr="00000000" w:rsidDel="00000000">
              <w:rPr>
                <w:rtl w:val="0"/>
              </w:rPr>
              <w:t xml:space="preserve"> minēto atbalstāmo darbību īstenošanai viena mājokļa vides pieejamības nodrošināšanas vidējās izmaksas nepārsniedz 18 299 </w:t>
            </w:r>
            <w:r w:rsidR="00000000" w:rsidRPr="00000000" w:rsidDel="00000000">
              <w:rPr>
                <w:i w:val="1"/>
                <w:rtl w:val="0"/>
              </w:rPr>
              <w:t xml:space="preserve">euro</w:t>
            </w:r>
            <w:r w:rsidR="00000000" w:rsidRPr="00000000" w:rsidDel="00000000">
              <w:rPr>
                <w:rtl w:val="0"/>
              </w:rPr>
              <w:t xml:space="preserve">, neieskaitot pievienotās vērtības nodokļa izmaksas. Projekta iesniedzējs var pārdalīt kopējo Atveseļošanas fonda finansējumu starp mājokļiem, kā arī starp mājokļiem un ēkām, kurās pašvaldība nodrošina kultūras, izglītības, sporta vai veselības pakalpojumus (turpmāk – publiskie pakalpojumi), atkāpjoties no Atveseļošanas fonda finansējuma apmēra vienam mājoklim un nepārsniedzot kopējo projekta iesniedzējam pieejamo Atveseļošanas fonda finansējuma kopsummu, un nemainot projektā paredzēto mērķa grupas personu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11. Šo noteikumu 20. punktā minēto atbalstāmo darbību īstenošanai viena mājokļa vides pieejamības nodrošināšanas vidējās izmaksas nepārsniedz 18 299 euro, neieskaitot pievienotās vērtības nodokļa izmaksas. Projekta iesniedzējs var pārdalīt kopējo Atveseļošanas fonda finansējumu starp mājokļiem, kā arī starp mājokļiem un ēkām, kurās pašvaldība nodrošina kultūras, izglītības, sporta, </w:t>
            </w:r>
            <w:r w:rsidR="00000000" w:rsidRPr="00000000" w:rsidDel="00000000">
              <w:rPr>
                <w:b w:val="1"/>
                <w:i w:val="1"/>
                <w:u w:val="single"/>
                <w:rtl w:val="0"/>
              </w:rPr>
              <w:t xml:space="preserve">sociālos</w:t>
            </w:r>
            <w:r w:rsidR="00000000" w:rsidRPr="00000000" w:rsidDel="00000000">
              <w:rPr>
                <w:i w:val="1"/>
                <w:rtl w:val="0"/>
              </w:rPr>
              <w:t xml:space="preserve"> vai veselības pakalpojumus (turpmāk – publiskie pakalpojumi), atkāpjoties no Atveseļošanas fonda finansējuma apmēra vienam mājoklim un nepārsniedzot kopējo projekta iesniedzējam pieejamo Atveseļošanas fonda finansējuma kopsummu, un nemainot projektā paredzēto mērķa grupas personu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26-TA-876</w:t>
    </w:r>
    <w:r>
      <w:br/>
    </w:r>
    <w:r w:rsidR="00000000" w:rsidRPr="00000000" w:rsidDel="00000000">
      <w:rPr>
        <w:rtl w:val="0"/>
      </w:rPr>
      <w:t xml:space="preserve">Izdrukāts 07.05.2026. 14.14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26-TA-876</w:t>
    </w:r>
    <w:r>
      <w:br/>
    </w:r>
    <w:r w:rsidR="00000000" w:rsidRPr="00000000" w:rsidDel="00000000">
      <w:rPr>
        <w:rtl w:val="0"/>
      </w:rPr>
      <w:t xml:space="preserve">Izdrukāts 07.05.2026. 14.14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Atzinumi_26-TA-876.docx</dc:title>
</cp:coreProperties>
</file>

<file path=docProps/custom.xml><?xml version="1.0" encoding="utf-8"?>
<Properties xmlns="http://schemas.openxmlformats.org/officeDocument/2006/custom-properties" xmlns:vt="http://schemas.openxmlformats.org/officeDocument/2006/docPropsVTypes"/>
</file>