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"Grozījums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ir iekļauti jauni informācijas sniegšanas pienākumi dažādām mērķa grupām, taču anotācijā nav veikts administratīvā sloga izvērtējums un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617 “Tiesību akta projekta sākotnējās ietekmes izvērtēšanas kārtība” 15. punktam tiesību akta projektos ir jāvērtē ietekme uz administratīvo slogu un, ja tiek konstatēti informācijas sniegšanas pienākumi, jāveic administratīvo izmaksu monetārs novērtējums. Savukārt saskaņā ar minēto noteikumu 18.2. punktu administratīvā sloga izvērtējums ir veicams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 visus likumprojektā ietvertos informācijas sniegšanas pienākumus attiecībā uz katru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administratīvo izmaksu monetāru novērtējumu, izmantojot paplašināto standarta izmaksu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skaidri norādīt konkrētos likumprojekta pantus vai to daļas, uz kurām attiecas veiktais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ir jānorāda tiesību akta projekta izpildes nodrošināšanā iesaistītā institūcija vai institūcijas. Līdz ar to lūdzam papildināt anotāciju, norādot institūcijas, kas nodrošinās tiesību akta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19.03.2026.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19.03.2026.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Atzinumi_24-TA-1586.docx</dc:title>
</cp:coreProperties>
</file>

<file path=docProps/custom.xml><?xml version="1.0" encoding="utf-8"?>
<Properties xmlns="http://schemas.openxmlformats.org/officeDocument/2006/custom-properties" xmlns:vt="http://schemas.openxmlformats.org/officeDocument/2006/docPropsVTypes"/>
</file>