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2025. gada 17. jūnija informatīvo ziņojumu “Par papildus kājinieku kaujas mašīnu iegādi NBS” (25-TA-16DV) kājinieku kaujas mašīnu iegādei 2026.gadā plānots 166 000 000 euro, 2027.gadā 166 000 000 euro un 2028.gadā 55 000 000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 punkts neparedz nekādu uzdevumu vai tālāku rīcību, bet tajā iekļauta tikai atsauce uz iepriekš pieņemtu MK lēmumu,</w:t>
            </w:r>
            <w:r w:rsidR="00000000" w:rsidRPr="00000000" w:rsidDel="00000000">
              <w:rPr>
                <w:rtl w:val="0"/>
              </w:rPr>
              <w:t xml:space="preserve"> lūdzam to svītrot.</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izstrādājot budžeta projektu 2027.gadam un ietvaru 2027., 2028. un 2029.gadam, precizēt budžeta bāzes izdevumus paredzot kājinieku kaujas mašīnu iegādei 2027.gadā 166 000 000 euro, 2028.gadā 55 000 000 euro budžeta apakšprogrammā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MK rīkojuma projekta 5. punktu un attiecīgi precizēt rīkojuma projekta anotāciju, ņemot vērā, ka apropriācijas pārdale no budžeta resora "74. Gadskārtējā valsts budžeta izpildes procesā pārdalāmais finansējums" programmas 24.00.00 "Valsts aizsardzības un drošības fonds" uz Aizsardzības ministrijas budžeta apakšprogrammu 22.12.00 "Nacionālo bruņoto spēku uzturēšana" šobrīd tiek paredzēta tikai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plānotais finansējums kaujas mašīnu iegādei 2027., 2028. gadā un kopsummā atšķiras no SAFE plānā paredzētā. Ņemot vērā, ka atbilstoši likuma "Par valsts budžetu 2026. gadam un budžeta ietvaru 2026., 2027. un 2028. gadam" 73. panta 2. daļai finanšu ministram ir tiesības ministrijai vai citai centrālajai valsts iestādei pārdalīto un noteiktajiem mērķiem neizmantoto finansējumu pārdalīt no ministrijas vai citas centrālās valsts iestādes budžeta atpakaļ uz budžeta resora "74. Gadskārtējā valsts budžeta izpildes procesā pārdalāmais finansējums" programmu 24.00.00 "Valsts aizsardzības un drošības fonds" un lai nodrošinātu paredzēto valsts budžeta līdzekļu maksimāli efektīvu izlietošanu, finansējums atbilstoši likuma "Par valsts budžetu 2026. gadam un budžeta ietvaru 2026., 2027.un 2028.gadam" 73. pantam ir pārdalāms atbilstoši faktiskai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Fiskālās disciplīnas likuma Pārejas noteikumi 10. punktam, sākot ar likumprojektu “Par valsts budžetu 2027. gadam un budžeta ietvaru 2027., 2028., 2029. un 2030. gadam” valsts budžeta likumu sagatavo četriem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kājinieku kaujas mašīnu iegādi ir uzskatāmi par vienreizējo pasākumu likuma “Par valsts budžetu 2026. gadam un budžeta ietvaru 2026., 2027. un 2028. gadam” 6.panta 1.punkta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MK protokollēmuma 3. punktu, jo kaujas mašīnu iegāde nav uzskatāma par vienreizējo pasākumu likuma “Par valsts budžetu 2026. gadam un budžeta ietvaru 2026., 2027. un 2028. gadam” 6.panta 1.punkta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w:t>
    </w:r>
    <w:r>
      <w:br/>
    </w:r>
    <w:r w:rsidR="00000000" w:rsidRPr="00000000" w:rsidDel="00000000">
      <w:rPr>
        <w:rtl w:val="0"/>
      </w:rPr>
      <w:t xml:space="preserve">Izdrukāts 12.01.2026.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w:t>
    </w:r>
    <w:r>
      <w:br/>
    </w:r>
    <w:r w:rsidR="00000000" w:rsidRPr="00000000" w:rsidDel="00000000">
      <w:rPr>
        <w:rtl w:val="0"/>
      </w:rPr>
      <w:t xml:space="preserve">Izdrukāts 12.01.2026.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Atzinumi_26-TA-6.docx</dc:title>
</cp:coreProperties>
</file>

<file path=docProps/custom.xml><?xml version="1.0" encoding="utf-8"?>
<Properties xmlns="http://schemas.openxmlformats.org/officeDocument/2006/custom-properties" xmlns:vt="http://schemas.openxmlformats.org/officeDocument/2006/docPropsVTypes"/>
</file>