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4.3.2. specifiskā atbalsta mērķa “Kultūras un tūrisma lomas palielināšana ekonomiskajā attīstībā, sociālajā iekļaušanā un sociālajās inovācijās”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Sadarbības iestāde, ja tai ir pieejami valsts budžeta līdzekļi, izvērtējot plānotā avansa apmēru, tā pamatojumu, pamatojoties uz finansējuma saņēmēja rakstisku avansa pieprasījumu, var piešķirt finansējuma saņēmējam, kas nav valsts pārvaldes iestāde, avansu pēc vienošanās un līguma par projekta īstenošanu noslēgšanas.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50 procentiem no projektam piešķirtā Eiropas Reģionālās attīstības fonda finansējums un valsts budžeta līdzfinansējuma kopsummas, ievērojot, ka avansu var izmaksāt vairākos maksājumos un avansa un starpposma maksājumu kopsumma nepārsniedz 90 procentus no projektam piešķirtā Eiropas Reģionālās attīstības fonda un valsts budžeta finansējuma kopsummas. Ja finansējuma saņēmējs ir biedrība vai nodibinājums, tad avansa un starpposma maksājuma kopsumma nepārsniedz 95 procentus no projektam piešķirtā Eiropas Savienības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avansa izlietošana saimnieciskā gada ietvaros ir piemērojama tikai attiecībā uz finansējuma saņēmējiem, kas ir pašvaldības. Tādējādi lūdzam precizēt noteikumu projekta 20.punkta otro teikumu, nosakot, ka tikai uz pašvaldībām attiecināma avansa izlietošana saimnieciskā gada ietvaros. Vienlaikus lūdzam šo tiesību normu papildināt pēc vārdiem "un valsts budžeta līdzfinansējuma kopsummas" ar vārdiem "ja tas paredzēts projektā", ņemot vērā izziņā ietverto skaidrojumu, ka tā kā tiks organizēta atklāta projekta iesniegumu atlase, tad nacionālā finansējuma sadalījums starp valsts budžeta līdzfinansējumu, pašvaldību līdzfinansējumu un privāto līdzfinansējumu nav zināms.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arī papildināt šī paša punkta trešo teikumu, skaidri norādot uz kuriem noteikumu projekta 21.punktā noteiktajiem projekta iesniedzējiem ir attiecināms šis regulējums tiesību normas skaidrai izpratnei, līdzīgi kā tas ir noteikts minētā punkta pēdējā teikumā.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ja biedrība vai nodibinājums saņem avansu un starpposma maksājuma kopsummu atbilstoši Ministru kabineta  2023. gada 25. aprīļa noteikumu Nr. 205 “Valsts budžeta līdzekļu plānošanas kārtība Eiropas Savienības fondu projektu īstenošanai un maksājumu veikšanai 2021.–2027. gada plānošanas periodā” 18.punktā noteiktajam, tad noteikumu projekta anotācijā ir jābūt  pamatojumam šāda avansa un starpposma maksājuma kopsummas apmēra nepieciešamībai, līdz ar to lūdzam papildināt un aktualizēt anotāciju atbilstoši noteikumu projekta 20.punktā noteiktajam regulējumam. Papildus lūdzam noteikumu projekta 20.punkta pēdējā teikumā aizstāt vārdus "Eiropas Savienības fonda" ar vārdiem "Eiropas Reģionālās attīstības fonda", tādējādi norādot precīzu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34.3.2. darbības, kas uzsāktas pirms projekta iesnieguma iesniegšanas vai pirms ir pieņemts Eiropas Komisijas lēmums, ar kuru paziņotais valsts atbalsts komercdarbībai ir atzīts par saderīgu ar iekšējo tirgu, attiecināmas </w:t>
            </w:r>
            <w:r w:rsidR="00000000" w:rsidRPr="00000000" w:rsidDel="00000000">
              <w:rPr>
                <w:i w:val="1"/>
                <w:rtl w:val="0"/>
              </w:rPr>
              <w:t xml:space="preserve">de minimis</w:t>
            </w:r>
            <w:r w:rsidR="00000000" w:rsidRPr="00000000" w:rsidDel="00000000">
              <w:rPr>
                <w:rtl w:val="0"/>
              </w:rPr>
              <w:t xml:space="preserve"> atbalsta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Regulas Nr. 651/2014 6. panta 5. punkta h) apakšpunktā noteiktajam attiecībā uz Regulas Nr. 651/2014  53. pantu (ja ir izpildīti visi Regulas Nr. 651/2014  53. pantā noteiktie nosacījumi) neattiecas Regulas Nr. 651/2014 6. panta 2. punktā minētā stimulējošās ietekmes prasība, līdz ar to izmaksas var attiecināt arī pirms projekta iesniegšanas. Ņemot vērā iepriekš minēto, aicinām izvērtēt nepieciešamību iekļaut noteikumu projekta 34.3.2. apakšpunktā minēto, ka darbību, kas uzsāktas pirms projekta iesnieguma iesniegšanas, izmaksas attiecināmas de minimis atbalsta ietvaros. Vienlaikus vēršam uzmanību, ka, piemērojot Regulu Nr. 651/2014 vai īstenojot projektu, kas nekvalificējas jā komercdarbības atbalsts, EK lēmums nav nepieciešams. Lūdzam precizēt noteikumu projekta 34.punktu.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tomēr pasākuma ietvaros plānots piešķirt de minimis atbalstu, lai nodrošinātu, ka tiek ievēroti visi de minimis atbalsta regulējuma nosacījumi, noteikumu projekts ir papildināms ar Komisijas regulā Nr.2023/2831 noteiktajām de minimis atbalsta piešķiršanas prasībām, tostarp, paredzot, ka projekta iesniedzējs projekta iesniegumam ir pievienojis de minimis atbalsta uzskaites sistēmā sagatavoto veidlapu par sniedzamo informāciju de minimis atbalsta uzskaitei un piešķiršanai vai ir norādījis sistēmā izveidotās un apstiprinātās veidlapas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projekta vadības un īstenošanas personāla atlīdzības izmaksas, kas tieši saistītas ar projektu īstenošanu un mērķa sasniegšanu un radušās uz darba līguma vai uzņēmuma līguma (pakalpojuma līguma) pamata, tai skaitā valsts sociālās apdrošināšanas obligātās iemaksas no apliekamajām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vadošās iestādes vadlīniju Nr. 1.2. "Vadlīnijas attiecināmo izmaksu noteikšanai 2021.-2027.gada plānošanas periodā" 7.3., 7.4. apakšpunktā, noteiktajam, lūdzam paredzēt nosacījumu, ka darbinieks vismaz 30% no normālā darba laika strādā ar projektu (attiecas uz daļlaika izmaksu attiecināšanas principu). Ja projektā tiek strādāts normālais vai nepilns darba laiks, tas nozīmē, ka 100% no darba laika tiek veltīts darbam ar projektu neatkarīgi no nepilna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netiešās attiecināmās izmaksas tiek rēķinātas no noteikumu projekta 36.1. apakšpunktā noteiktajām personāla izmaksām, lūdzam svītrot vārdus "vai uzņēmuma līguma (pakalpojuma līguma)", jo netiešās attiecināmās izmaksas nevar rēķināt no personāla atlīdzības, kas radusies uz uzņēmuma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svītrot vārdus 'tai skaitā valsts sociālās apdrošināšanas obligātās iemaksas no apliekamajām attiecināmajām izmaksām', jo tas ietilpst personāla izmaksās un atkārtoti to uzsvērt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projekta vadības un īstenošanas personāla izmaksas, kas tieši saistītas ar projektu īstenošanu un mērķa sasniegšanu un radušās uz darba līguma pamata. Ja personāla iesaiste projektā ir nodrošināta saskaņā ar daļlaika izmaksu attiecināmības principu, attiecināma ir ne mazāka kā 30 procentu noslodze. Ja personāls ir nodarbināts nepilnu darba laiku, izmaksas nosakāmas atbilstoši nepilnā darba laika noslodzei;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ekspertu izmaksas, kas tieši saistītas ar investīcijām infrastruktūrā, tai skaitā būvuzraudzības, autoruzraudzības un arheoloģiskās uzraudzības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Vadošās iestādes vadlīniju Nr.1.2. "Vadlīnijas attiecināmo izmaksu noteikšanai Eiropas Savienības kohēzijas politikas programmas 2021.-2027.gada plānošanas periodā" 10.2.apakšpunktā noteikts šādi: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paredzēt šo ierobežojumu noteikumu projekta 36.3. apakšpunktā noteiktajām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minētās izmaksas ir attiecināmas, ja tās ir ieguldījumi materiālajos aktīvos, kā noteikts Regulas Nr. 651/2014 2. panta 29. punktā, vai nemateriālajos aktīvos, kā noteikts Regulas Nr. 651/2014 2. panta 30. punktā, un ir saistītas ar pamatlīdzekļa vērtību, izņemot šo noteikumu </w:t>
            </w:r>
            <w:r w:rsidR="00000000" w:rsidRPr="00000000" w:rsidDel="00000000">
              <w:rPr>
                <w:rtl w:val="0"/>
              </w:rPr>
              <w:t xml:space="preserve">36.8. </w:t>
            </w:r>
            <w:r w:rsidR="00000000" w:rsidRPr="00000000" w:rsidDel="00000000">
              <w:rPr>
                <w:rtl w:val="0"/>
              </w:rPr>
              <w:t xml:space="preserve">apakšpunktā</w:t>
            </w:r>
            <w:r w:rsidR="00000000" w:rsidRPr="00000000" w:rsidDel="00000000">
              <w:rPr>
                <w:rtl w:val="0"/>
              </w:rPr>
              <w:t xml:space="preserve"> minētās izmaksas, ja projekta iesniegumam sniegtais atbalsts ir uzskatāms par komercdarbības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pasākuma ietvaros piešķirtais atbalsts atbilst Regulas 651/2014 noteiktajām prasībām, lūdzam precizēt noteikumu 40.punktu, paredzot, ka ieguldījumi materiālajos vai nemateriālajos aktīvos veido pamatlīdzekļu vērtību, nevis ir tikai saistīti ar to. Par to, kādas izmaksas var būt ieguldījumu izmaksas (un kādas - darbības izmaksas), lūdzam skatīt Regulas 651/2014 53.panta 4.punktā (attiecīgi - 5.punktā).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 </w:t>
            </w:r>
            <w:r w:rsidR="00000000" w:rsidRPr="00000000" w:rsidDel="00000000">
              <w:rPr>
                <w:rtl w:val="0"/>
              </w:rPr>
              <w:t xml:space="preserve">punktā</w:t>
            </w:r>
            <w:r w:rsidR="00000000" w:rsidRPr="00000000" w:rsidDel="00000000">
              <w:rPr>
                <w:rtl w:val="0"/>
              </w:rPr>
              <w:t xml:space="preserve"> noteiktās izmaksas ir attiecināmas saskaņā ar Komisijas regulas Nr. 651/2014 2. panta 29. un 30. punktu un 53. panta 4. punktu kā ieguldījumu atbalsta izmaksas, izņemot šo noteikumu </w:t>
            </w:r>
            <w:r w:rsidR="00000000" w:rsidRPr="00000000" w:rsidDel="00000000">
              <w:rPr>
                <w:rtl w:val="0"/>
              </w:rPr>
              <w:t xml:space="preserve">36.1.</w:t>
            </w:r>
            <w:r w:rsidR="00000000" w:rsidRPr="00000000" w:rsidDel="00000000">
              <w:rPr>
                <w:rtl w:val="0"/>
              </w:rPr>
              <w:t xml:space="preserve">, </w:t>
            </w:r>
            <w:r w:rsidR="00000000" w:rsidRPr="00000000" w:rsidDel="00000000">
              <w:rPr>
                <w:rtl w:val="0"/>
              </w:rPr>
              <w:t xml:space="preserve">36.2.</w:t>
            </w:r>
            <w:r w:rsidR="00000000" w:rsidRPr="00000000" w:rsidDel="00000000">
              <w:rPr>
                <w:rtl w:val="0"/>
              </w:rPr>
              <w:t xml:space="preserve">, </w:t>
            </w:r>
            <w:r w:rsidR="00000000" w:rsidRPr="00000000" w:rsidDel="00000000">
              <w:rPr>
                <w:rtl w:val="0"/>
              </w:rPr>
              <w:t xml:space="preserve">36.8.</w:t>
            </w:r>
            <w:r w:rsidR="00000000" w:rsidRPr="00000000" w:rsidDel="00000000">
              <w:rPr>
                <w:rtl w:val="0"/>
              </w:rPr>
              <w:t xml:space="preserve">, </w:t>
            </w:r>
            <w:r w:rsidR="00000000" w:rsidRPr="00000000" w:rsidDel="00000000">
              <w:rPr>
                <w:rtl w:val="0"/>
              </w:rPr>
              <w:t xml:space="preserve">36.9.</w:t>
            </w:r>
            <w:r w:rsidR="00000000" w:rsidRPr="00000000" w:rsidDel="00000000">
              <w:rPr>
                <w:rtl w:val="0"/>
              </w:rPr>
              <w:t xml:space="preserve"> un </w:t>
            </w:r>
            <w:r w:rsidR="00000000" w:rsidRPr="00000000" w:rsidDel="00000000">
              <w:rPr>
                <w:rtl w:val="0"/>
              </w:rPr>
              <w:t xml:space="preserve">36.10. </w:t>
            </w:r>
            <w:r w:rsidR="00000000" w:rsidRPr="00000000" w:rsidDel="00000000">
              <w:rPr>
                <w:rtl w:val="0"/>
              </w:rPr>
              <w:t xml:space="preserve">apakšpunktā</w:t>
            </w:r>
            <w:r w:rsidR="00000000" w:rsidRPr="00000000" w:rsidDel="00000000">
              <w:rPr>
                <w:rtl w:val="0"/>
              </w:rPr>
              <w:t xml:space="preserve"> minētās izmaksas, kuras, atbilstoši Komisijas regulas Nr. 651/2014 53. panta 5. punktam, ir attiecināmas kā darbības atbalsta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izmaksas par ieguldījumiem materiālajos un nemateriālajos aktīvos atbilst Komisijas regulas Nr. 651/2014 53. panta 3a apakšpunktam (ieguldījumu atbalsts) tikai gadījumos, ja tās veido pamatlīdzekļu vērtību, lūdzam izvērtēt, vai noteikumu projekta 45.punktā noteiktas izmaksu sadalījums ir korekts. Vēršam uzmanību, ka 36.2.apakšpunktā uzskaitītās izmaksas, savukārt, visdrīzāk nav darbības atbalsts, jo attiecas uz ieguldījumu atbalstu. Par to, kādas izmaksas var būt ieguldījumu izmaksas (un kādas - darbības izmaksas), lūdzam skatīt Regulas 651/2014 53.panta 4.punktā (attiecīgi - 5.punktā).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46.6. šo noteikumu </w:t>
            </w:r>
            <w:r w:rsidR="00000000" w:rsidRPr="00000000" w:rsidDel="00000000">
              <w:rPr>
                <w:rtl w:val="0"/>
              </w:rPr>
              <w:t xml:space="preserve">46.5. </w:t>
            </w:r>
            <w:r w:rsidR="00000000" w:rsidRPr="00000000" w:rsidDel="00000000">
              <w:rPr>
                <w:rtl w:val="0"/>
              </w:rPr>
              <w:t xml:space="preserve">apakšpunkta</w:t>
            </w:r>
            <w:r w:rsidR="00000000" w:rsidRPr="00000000" w:rsidDel="00000000">
              <w:rPr>
                <w:rtl w:val="0"/>
              </w:rPr>
              <w:t xml:space="preserve"> nosacījums neattiecas uz kultūras mantojuma izmaksām, kas noteiktas regulas Nr. 651/2014 53. panta 4. punkta c)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46.6.apakšpunktu, jo noteikumu projekta 46.5.apakšpunktā jau ir iekļauts pilnvērtīgs nosacījums par to, ka izmaksas par infrastruktūras izbūvi, modernizēšanu, iegādi, konservāciju vai uzlabošanu ir attiecināmas, ja vismaz 80 % no gada jaudas laika vai platības izteiksmē, izmanto Regulas Nr.651/2014 53.panta 2 a apakšpunktā noteiktajam kultūras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ir pārkāptas regulas Nr. 651/2014 prasības vai ir konstatēts, ka projekts tā ieviešanas gaitā vai projekta pārskata periodā neatbilst šo noteikumu </w:t>
            </w:r>
            <w:r w:rsidR="00000000" w:rsidRPr="00000000" w:rsidDel="00000000">
              <w:rPr>
                <w:rtl w:val="0"/>
              </w:rPr>
              <w:t xml:space="preserve">43.1.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minētajiem gadījumiem vai tiek veikta saimnieciskā darbība, kas nav uzskatāma par papildpakalpojumu, un tam nav iespējams piemērot Regulas Nr. 651/2014 53. panta nosacījumus, atbalsta saņēmējam ir pienākums atmaksāt sadarbības iestādei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56.punktā iekļauto atsauci, svītrojot skaitļus "42.".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“Tiesību akta projekta ietekme uz valsts budžetu un pašvaldību budžetiem” 6.punktā “Detalizēts ieņēmumu un izdevumu aprēķins (ja nepieciešams, detalizētu ieņēmumu un izdevumu aprēķinu var pievienot anotācijas (ex-ante) pielikumā)” otrajā un trešajā rindkopā ir iekļauta informācija, ka specifiskā atbalsta ietvaros ir plānota atklāta projektu iesniegumu atlase, tādējādi nacionālā finansējuma sadalījums starp valsts budžeta līdzfinansējumu, pašvaldību līdzfinansējumu un privāto līdzfinansējumu ir indikatīvs, vienlaikus norādot valsts budžeta līdzfinansējumu 300 000 </w:t>
            </w:r>
            <w:r w:rsidR="00000000" w:rsidRPr="00000000" w:rsidDel="00000000">
              <w:rPr>
                <w:i w:val="1"/>
                <w:rtl w:val="0"/>
              </w:rPr>
              <w:t xml:space="preserve">euro</w:t>
            </w:r>
            <w:r w:rsidR="00000000" w:rsidRPr="00000000" w:rsidDel="00000000">
              <w:rPr>
                <w:rtl w:val="0"/>
              </w:rPr>
              <w:t xml:space="preserve"> apmērā un pašvaldību līdzfinansējumu 1 938 321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pamatojuma valsts budžeta līdzekļu plānošanai līdzfinansējuma nodrošināšanai finansējuma saņēmējiem, kas nav budžeta iestādes vai atvasinātas publiskas personas - augstskolas vai zinātniskie institūti. Tādējādi anotācijā ir precizējama informācija, ka valsts budžeta līdzfinansējums tiek piešķirts valsts budžeta iestādēm vai atvasinātām publiskām personām 2018.gada 17.jūlija Ministru kabineta noteikumos Nr.421 “Kārtība, kādā veic gadskārtējā valsts budžeta likumā noteiktās apropriācijas izmaiņas” noteiktajos gadījumos, savukārt pārējiem finansējuma saņēmējiem līdzfinansējums projektu īstenošanai ir nodrošināms to esošo budžetu līdzekļu ietvaros, vienlaikus precizējot informāciju 3., 5., 7. un 8.kolonnas 3.1., 3.3., 5.1. un 5.3.apakšpunktā.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Eiropas Reģionālās attīstības fonda maksimālā finansējuma likme nepārsniedz 85 procentus no projekta kopējām attiecināmajām izmaksām, ja atbalsta sniegšana specifiskā atbalsta ietvaros tam nav kvalificējama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projekta 15.punktā piebildi "ja atbalsta sniegšana specifiskā atbalsta ietvaros tam nav kvalificējama kā komercdarbības atbalsts.", ņemot vērā Kultūras ministrijas sniegto skaidrojumu izziņas 5.punktā, kur norādīts, ka atbilstoši Regulas 2021/1060 112. pantam Eiropas Reģionālās attīstības fonda maksimālā finansējuma likme nepārsniedz 85 procentus no projekta kopējām attiecināmajām izmaksām, neatkarīgi ir vai nav komercdarbības atbalsts. Komercdarbības atbalsta esamība ietekmē tikai 15% nacionālā līdzfinansējuma sadalījumu pa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 (Edijs Kirsanovs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projekta vadības un īstenošanas personāla atlīdzības izmaksas, kas tieši saistītas ar projektu īstenošanu un mērķa sasniegšanu un radušās uz darba līguma vai uzņēmuma līguma (pakalpojuma līguma) pamata, tai skaitā valsts sociālās apdrošināšanas obligātās iemaksas no apliekamajām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lietoto terminoloģiju, lūdzam aizstāt noteikumu projekta 36.1.apakšpunktā vārdus "personāla atlīdzības izmaksām" ar vārdiem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36.4.5. teritorijas labiekārtošana, kas nepieciešama teritorijas un objektu funkcionalitātes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kādi noteikumu projekta 36.4.5. punktā minētie teritorijas labiekārtošanas darbi potenciāli varētu būt nepieciešami teritorijas un objektu funkcionalitātes nodrošināšanai, ņemot vērā, ka noteikumu projekta 36.4.2. punktā jau ir minēta būves sasniedzamības un piekļūstamības nodrošinošās infrastruktūras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 (Edijs Kirsanovs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36.8.1. projekta īstenošanas personāla iekšzemes komandējumu un darba braucienu izmaksas, kam piemēro Finanšu ministrijas metodikā "Vienas vienības izmaksu standarta likmes aprēķina un piemērošanas metodika iekšzemes komandējumu izmaksām darbības programmas "Izaugsme un nodarbinātība" īstenošanai" noteiktās vienas vienības izmaksu standarta likmes;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nosaukumu: "Vienas vienības izmaksu standarta likmes aprēķina un piemērošanas metodika iekšzemes komandējumu izmaksām darbības programmas “Izaugsme un nodarbinātība” </w:t>
            </w:r>
            <w:r w:rsidR="00000000" w:rsidRPr="00000000" w:rsidDel="00000000">
              <w:rPr>
                <w:u w:val="single"/>
                <w:rtl w:val="0"/>
              </w:rPr>
              <w:t xml:space="preserve">un Eiropas Savienības kohēzijas politikas programmas 2021.–2027.gadam īstenošanai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 (Edijs Kirsanovs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36.8.2. projekta īstenošanas personāla degvielas izmaksas vieglajam transportlīdzeklim un reģionālās starppilsētu nozīmes un reģionālās vietējas nozīmes sabiedriskā transporta izmaksas, kam piemēro Finanšu ministrijas metodikā "Vienas vienības izmaksu standarta likmes aprēķina un piemērošanas metodika 1 km izmaksām darbības programmas "Izaugsme un nodarbinātība" īstenošanai" noteiktās vienas vienības izmaksu standarta likmes;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nosaukumu: "Vienas vienības izmaksu standarta likmes aprēķina un piemērošanas metodika 1 km izmaksām darbības programmas “Izaugsme un nodarbinātība” </w:t>
            </w:r>
            <w:r w:rsidR="00000000" w:rsidRPr="00000000" w:rsidDel="00000000">
              <w:rPr>
                <w:u w:val="single"/>
                <w:rtl w:val="0"/>
              </w:rPr>
              <w:t xml:space="preserve">un Eiropas Savienības kohēzijas politikas programmas 2021.–2027.gadam īstenošanai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 (Edijs Kirsanovs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36.8.7. citas ar kultūras pakalpojuma īstenošanu saistītās izmaksas, kas nodrošina projekta mērķa un rezultātu sasniegšanu un nav noteiktas šo noteikumu </w:t>
            </w:r>
            <w:r w:rsidR="00000000" w:rsidRPr="00000000" w:rsidDel="00000000">
              <w:rPr>
                <w:rtl w:val="0"/>
              </w:rPr>
              <w:t xml:space="preserve">36.8. </w:t>
            </w:r>
            <w:r w:rsidR="00000000" w:rsidRPr="00000000" w:rsidDel="00000000">
              <w:rPr>
                <w:rtl w:val="0"/>
              </w:rPr>
              <w:t xml:space="preserve">apakšpunktā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anotācijā aprakstīt, kādas citas ar kultūras pakalpojuma īstenošanu saistītās izmaksas varētu tikt attiecinātas zem noteikumu projekta 36.8.7.apakšpunkta (var minēt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 (Edijs Kirsanovs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Specifiskā atbalsta atbalstāmo darbību ietvaros, ja finansējuma saņēmējs nav komercdarbības atbalsta saņēmējs, ir attiecināms pievienotās vērtības nodoklis tiešajām attiecināmajām izmaksām atbilstoši Regulas Nr. 2021/1060 64. panta 1. punkta "c" apakšpunkta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tiek plānoti komercdarbības atbalsta nosacījumi, lūdzam izteikt noteikumu projekta 39.punktu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Pievienotās vērtības nodoklis, kas tiešā veidā saistīts ar projektu, uzskatāms par attiecināmām izmaksām saskaņā ar regulas Nr. 2021/1060 64. panta 1. punkta “c” apakšpunktā ietvertajiem nosacījumiem, ja tas nav atgūstams saskaņā ar attiecīgās valsts tiesību aktiem pievienotās vērtības nodokļa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24-TA-1502</w:t>
    </w:r>
    <w:r>
      <w:br/>
    </w:r>
    <w:r w:rsidR="00000000" w:rsidRPr="00000000" w:rsidDel="00000000">
      <w:rPr>
        <w:rtl w:val="0"/>
      </w:rPr>
      <w:t xml:space="preserve">Izdrukāts 09.09.2024. 18.58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24-TA-1502</w:t>
    </w:r>
    <w:r>
      <w:br/>
    </w:r>
    <w:r w:rsidR="00000000" w:rsidRPr="00000000" w:rsidDel="00000000">
      <w:rPr>
        <w:rtl w:val="0"/>
      </w:rPr>
      <w:t xml:space="preserve">Izdrukāts 09.09.2024. 18.58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Atzinumi_24-TA-1502.docx</dc:title>
</cp:coreProperties>
</file>

<file path=docProps/custom.xml><?xml version="1.0" encoding="utf-8"?>
<Properties xmlns="http://schemas.openxmlformats.org/officeDocument/2006/custom-properties" xmlns:vt="http://schemas.openxmlformats.org/officeDocument/2006/docPropsVTypes"/>
</file>