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 Pabalstus par ģimenes locekļu uzturēšanos ārvalstī pārtrauc maksāt ar dienu, kad ģimenes loceklis atstāj dienesta vietu </w:t>
            </w:r>
            <w:r w:rsidR="00000000" w:rsidRPr="00000000" w:rsidDel="00000000">
              <w:rPr>
                <w:u w:val="single"/>
                <w:rtl w:val="0"/>
              </w:rPr>
              <w:t xml:space="preserve">bez nodoma atgriezties </w:t>
            </w:r>
            <w:r w:rsidR="00000000" w:rsidRPr="00000000" w:rsidDel="00000000">
              <w:rPr>
                <w:rtl w:val="0"/>
              </w:rPr>
              <w:t xml:space="preserve">un līdz ar to pārtrauc pastāvīgu uzturēšanos dienesta vietā, bet ne vēlāk kā ar rīkojumā noteikto darbinieka pārcelšanās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noteikumu 11.punkts nosaka, ka laulātais un bērns dienesta vietā uzturas pastāvīgi, ja viņu prombūtne ārpus dienesta vietas kalendāra gada laikā nepārsniedz 120 dienas, ieskaitot darbinieka atvaļinājumu. Atsevišķos gadījumos, ja ir attaisnojoši iemesli (piemēram, slimība, mācības akreditētā izglītības iestādē), ar nosūtītājas institūcijas vadītāja rakstisku atļauju, saglabājot statusu, prombūtnes termiņu var pagarināt, bet ne ilgāk kā līdz 150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izsakot noteikumu 9.punktu jaunā redakcijā, vairs netiek noteikts konkrēts ārpus dienesta vietas atrašanās dienu skaits, prokuratūra aicina papildināt noteikumu projekta anotāciju ar pamatojumu šādām izmaiņām. Vienlaikus prokuratūra vērš uzmanību, ka, nenosakot konkrētus kritērijus jēdzienam "bez nodoma atgriezties", netiks nodrošināta vienota izpratne par tiesību normas piemērošanu un tiks pieļauts nepamatotas rīcības ar valsts budžeta līdzekļiem risks.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Gricenko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noteikumu 30.1 punktu jaunā redakcijā, paredzot, ka īres un komunālajos izdevumos ieskaitāmi  [..] regulārie maksājumi par dzīvokļa uzturēšanai nepieciešamajiem pakalpojumiem (piemēram,[..] dažādu dzīvokļa sistēmu un ierīču apkope.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tiesību normas piemērošanu, prokuratūra aicina papildināt projekta anotāciju, norādot dzīvokļa sistēmas un ierīces, kuru apkopes maksa var tikt ieskaitīta īres un komunālajos maksājumos.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Gricenko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01.11.2022.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01.11.2022.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