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izziņas 4. punktā norādīts, ka likums "Par piesārņojumu" paliks spēkā arī pēc Piesārņojošo darbību likumprojekta spēkā stāšanās, savukārt likumprojekta anotācijas 1.3. sadaļas "Pašreizējā situācija, problēmas un risinājumi" skaidrojumā par likumprojekta 15. pantu norādīts, ka ar likumprojekta spēkā stāšanos spēku zaudēs likums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viennozīmīgi skaidru informāciju par likuma "Par piesārņojumu" tālāko statusu pēc Piesārņojošo darbību likumprojekta spēkā stāšanās, lūdzam atbilstoši precizēt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11.12.2025.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11.12.2025.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