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IKT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 DigComp aktuālās versijas (turpmāk - DigComp ietvars) apguves līmenim un atbilstoši Eiropas e-kompetences ietvaram IKT profesionāļiem (turpmāk - e-CF ietvars);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iekļautās atsauces uz Eiropas e-kompetences ietvaru IKT profesionāļiem (e-CF ietvaru) vai papildināt noteikumu projektu ar normām, kas pārņem attiecīgajā ietvarā noteikto, līdzīgi kā tas attiecībā uz Eiropas Iedzīvotāju digitālās kompetences ietvaru darīts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(turpmāk - noteikumi) pielikumā, kā arī Ministru kabineta 2023. gada 13. jūlija noteikumos Nr. 395 "Neformālās izglītības programmas īstenošanas atļaujas izsniegšanas kārtība". Alternatīvi atkārtoti lūdzam noteikumu projekta anotācijā skaidrot noteikumu projektā minētā Eiropas e-kompetences ietvara saturu un saistošo spēku attiecībā uz privātpersonām, tostarp skaidrojot, kādā normatīvajā aktā minētais ietvars ir paredzēts. Vēršam uzmanību, ka tiesību normās ietvertajiem personu pienākumiem ir jābūt skaidriem un nepārprotamiem, tai skaitā ir jābūt iespējai no normatīvā akta teksta un anotācijas nepārprotami noskaidrot savu pienākumu un saistošo tiesību aktu saturu. Ja minētais ietvars nav juridiski saistošs privātpersonām, par saistošu to nevar padarīt arī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attiecībā uz atsaucēm uz Eiropas Iedzīvotāju digitālās kompetences ietvara DigComp aktuālo versiju (DigComp ietvaru) aicinām attiecīgajās noteikumu projekta vienībās konsekventi ietvert atsauci uz noteikumu pielikumu, tādējādi privātpersonām norādot, kur attiecīgā ietvara prasības ir pārņemtas (noteikumos). Ja attiecīgajās noteikumu projekta vienībās domātas kādas minētā ietvara prasības, kas nav ietvertas noteikumu pielikumā, lūdzam arī tās pārņemt noteikumos. Papildus aicinām izvērtēt, vai vārdi "aktuālās versijas" nav jāsvītro kā lieki, jo noteikumu pielikums jau paredz noteiktu tiesisko regulējumu, pārņemot ietvarā noteikto, un gadījumā, ja mainās ietvara prasības, būtu nepieciešams precizēt noteikumu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investīcijas 2.3.1.3.i. īstenošanas kārtību un uzraudzības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1.1.6. apakšpunkta nepieciešamību, ņemot vērā, ka 1.1. apakšpunkta ievaddaļa jau paredz, ka noteikumi nosaka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(turpmāk – investīcija 2.3.1.4.i.) un 2.3.1.3.i. investīcijas “Pašvadītas IKT speciālistu mācību pieejas attīstība”  (turpmāk – investīcija 2.3.1.3.i.) </w:t>
            </w:r>
            <w:r w:rsidR="00000000" w:rsidRPr="00000000" w:rsidDel="00000000">
              <w:rPr>
                <w:u w:val="single"/>
                <w:rtl w:val="0"/>
              </w:rPr>
              <w:t xml:space="preserve">īstenošanas un uzraudzības kārtību, tai skaitā</w:t>
            </w:r>
            <w:r w:rsidR="00000000" w:rsidRPr="00000000" w:rsidDel="00000000">
              <w:rPr>
                <w:rtl w:val="0"/>
              </w:rPr>
              <w:t xml:space="preserve"> [..]". Proti, aicinām izvērtēt, vai noteikumu 1.1.6. apakšpunkts faktiski vismaz daļēji nedublē 1.1. apakšpunktu, nepieciešamības gadījumā attiecīgi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neformālās izglītības programmas apguve, kuras noslēgumā var saņemt apliecību par neformālās izglītības programmas apguvi, kuru IMK aprobācijas periodā Atveseļošanas fonda projekta Nr.2.3.2.1.i.0/1/23/I/CFLA/001 "Sabiedrības digitālo prasmju attīstība" ietvaros ģenerē platformā un paraksta ar platformas sistēmas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noteikumu projektā izmantoto saīsinājumu "IMK", precizējot noteikumu projektu atbilstoši Ministru kabineta 2009. gada 3. februāra noteikumu Nr. 108 "Normatīvo aktu projektu sagatavošanas noteikumi" 124. punkta prasībām. Papildus norādām, ka saskaņā ar minēto noteikumu 44. punktu saīsinājumā abreviatūras neizmanto. Saīsinājumā pieļaujams izmantot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uzskaitot dalībniekus pa dzimumiem un vecuma grupām, kuri piedalās digitālo prasmju apmācībās”  un  “RRFCI10 Izglītības vai apmācības dalībnieku skaits, uzskaitot dalībniekus pa dzimumiem (vīrieši, sievietes, nebinārais) un vecuma grupām (0-17, 18-29, 30-54, 55 un vairāk gadi), kuri piedalās digitālo prasmju apmācībās sasniegšanā”. Projekta dalībnieku personas datus  apstrādā, ievērojot personas datu aizsardzības jomu regulējošos normatīvos aktus.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91.</w:t>
            </w:r>
            <w:r w:rsidR="00000000" w:rsidRPr="00000000" w:rsidDel="00000000">
              <w:rPr>
                <w:vertAlign w:val="superscript"/>
                <w:rtl w:val="0"/>
              </w:rPr>
              <w:t xml:space="preserve">8</w:t>
            </w:r>
            <w:r w:rsidR="00000000" w:rsidRPr="00000000" w:rsidDel="00000000">
              <w:rPr>
                <w:rtl w:val="0"/>
              </w:rPr>
              <w:t xml:space="preserve">2. apakšpunktā ietverto pēdējo teikumu. Skaidrojam, ka minētajai tiesību normai nav juridiskas slodzes, jo personas datu apstrādi regulējošo normatīvo aktu prasības pārzinim ir jāievēro neatkarīgi no tā, vai tas noteikts speciālajā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platformā izglītības pakalpojumu sniedzēja profilu un aizpilda tajā atbilstošo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91.</w:t>
            </w:r>
            <w:r w:rsidR="00000000" w:rsidRPr="00000000" w:rsidDel="00000000">
              <w:rPr>
                <w:vertAlign w:val="superscript"/>
                <w:rtl w:val="0"/>
              </w:rPr>
              <w:t xml:space="preserve">13 </w:t>
            </w:r>
            <w:r w:rsidR="00000000" w:rsidRPr="00000000" w:rsidDel="00000000">
              <w:rPr>
                <w:rtl w:val="0"/>
              </w:rPr>
              <w:t xml:space="preserve">punktā (noteikumu projekta 39. punkts) konkretizēt vai anotācijā skaidrot, kādu informāciju ("atbilstošo informāciju") izglītības pakalpojumu sniedzējs aizpilda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01.04.2025.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01.04.2025.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