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Šā likuma 14.1 panta 2.2 daļu pilsētas nozīmes maršrutos piemēro, sākot no 2025.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Satiksmes ministriju nevis turpināt virzīt tiesību akta projektu “Grozījumi Sabiedriskā transporta pakalpojumu likumā” (turpmāk – grozījumu projekts), piedāvājot arvien jaunus termiņus grozījumu projekta pārejas noteikumos, kuros Satiksmes ministrijas ieskatā ir iespējams realizēt prasību pilsētas nozīmes maršrutu sabiedriskajā transportlīdzeklī elektroniski identificēties ar personas apliecību (eID), kas papildināta ar speciālu funkcionalitāti (lietotni), bet sākotnēji organizēt starpnozaru sanāksmi, pieaicinot VSIA “Autotransporta direkcija”, Pilsonības un migrācijas lietu pārvaldes, valstspilsētas pašvaldību, Vides aizsardzības un reģionālās attīstības ministrijas, pilsētas nozīmes maršrutu pārvadātāju u.c. institūciju pārstāvjus. Minētajām pusēm koleģiāli būtu jāizrunā to tehniskās, finanšu un citas iespējas un vajadzības, lai realizētu iepriekš minētās prasības ieviešanu, un vienotos par reālu šīs prasības ieviešanas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piemēram, Atvieglojumu vienotās informācijas sistēmas likuma 6. panta pirmās daļas 1. punkts noteic, ka Informācijas sistēmas izmantošana ir obligāta atvieglojuma devējam, kas no valsts vai pašvaldības budžeta piešķir vai administrē atvieglojumu. Bet šā likuma pārejas noteikumu 1. punkts noteic, ka atvieglojuma devējam, kas no valsts vai pašvaldības budžeta piešķir vai administrē atvieglojumu, kā arī atvieglojuma pakalpojumu sniedzējam atvieglojumu vienotās informācijas sistēmas lietošana ir obligāta, sākot ar 2024. gada 1. novembri.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mūsu rīcībā esošo informāciju faktiska sistēmas izmantošana atvieglojuma devējam nav iespējama iepriekš minētajā termiņā, līdz ar to arī šajā likumā ir nepieciešami tiesību normu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akta projektu “Grozījumi Sabiedriskā transporta pakalpojumu likumā” (turpmāk – grozījumu projekts) ar normu, kas paredz Sabiedriskā transporta pakalpojumu likuma (turpmāk – likums) sestās daļas 3. punktā aizstāt vārdus “Rīgas pilsētas” ar vārdiem “Rīgas valstspilsētas”.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12.07.2024. 11.07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12.07.2024. 11.07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