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radiolīdzekļu izmantošanas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nelietderīgas papildu projektu izstrādes un virzības, lūdzam projekta tālāku virzību nodrošināt sadarbībā ar Satiksmes ministriju, kad saistītais likumprojekts "Grozījumi Elektronisko sakaru likumā" (Nr.1073/Lp14) būs kā steidzams izskatīts Saeimā 2.lasījumā, jo pašlaik atbildīgajā Saeimas komisijā vēl nav izskatīts Satiksmes ministrijas priekšlikums minētajam likumprojektam, kas paredz paplašināt to subjektu loku, kuri ir tiesīgi pielietot speciālos radiolīdzekļus nevēlamu radiosakaru pārtraukšanai.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21.11.2025.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21.11.2025.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