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Pasākuma otrās kārtas ietvaros katram projekta iesniedzējam plānotais kopējais attiecināmais finansējums nepārsniedz: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30. punkts un secīgi 31.punkts nosaka 4.2.1.8. pasākuma "Augstskolu studiju vides modernizācija" otrās kārtas kopējo attiecināmo izmaksu sadalījumu katram projekta iesniedzējam.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 pielikumā ir noteikts potenciālo finansējuma saņēmēju finansējuma indikatīvais sadalījums un vispārīgs skaidrojošs apraksts1  par veiktajiem aprēķiniem, kas balstīti konkrētos datos.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skaidrojoša apraksta nav izsecināms, kā tiek noteikti rādītāji, piemēram, rādītājs  “STEAM absolventu skaits (*ar koeficientu)”.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sniegt detalizētu rādītāju aprēķinu, lai skaidri un pārskatāmi varētu nodrošināt aprēķina izsekojamību.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 Katram projekta iesniedzējam un finansējuma saņēmējam paredzētais finansējums noteikts, pamatojoties uz IZM veiktā augstākās izglītības programmu absolventu nodarbinātības, ienākumu un ekonomiskās aktivitātes monitoringa datiem STEAM jomā Valsts izglītības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sadalē tiek pielietoti absolventu monitoringa dati – absolventu skaits, kas ir nodarbināts Latvijā kvalificētajos amatos.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Attiecīgās jomas absolventu skaits tiek reizināts arī ar darba tirgus pieprasījuma koeficientu (DTPK), ko nosaka atbilstoši formulai DTPK = Di / ∑Di * 2 + 1, kur Di – prognozētais darbaspēka iztrūkums konkrētajā augstākās izglītības jomā saskaņā ar jaunākajām pieejamām Ekonomikas ministrijas darba tirgus prognozēm par vēlāko pieejamo gadu, ∑Di – kopējais prognozētais darbaspēka iztrūkums visās augstākās izglītības jomās saskaņā ar jaunākajām pieejamām Ekonomikas ministrijas darba tirgus prognozēm par vēlāko pieejamo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15.07.2024.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15.07.2024.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Atzinumi_24-TA-541.docx</dc:title>
</cp:coreProperties>
</file>

<file path=docProps/custom.xml><?xml version="1.0" encoding="utf-8"?>
<Properties xmlns="http://schemas.openxmlformats.org/officeDocument/2006/custom-properties" xmlns:vt="http://schemas.openxmlformats.org/officeDocument/2006/docPropsVTypes"/>
</file>