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vismaz 18  gadus vecas personas, kuru deklarētā dzīves vieta vai faktiskā darba vieta ir Kurzemes, Latgales, Vidzemes un Zemgales statistiskajā reģionā (turpmāk - mērķa grupas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sniedzot skaidrojumu par 6.1.1.5.pasākuma mērķa grupu un 8.1.2.apakšpunktā minēto iznākuma rādītāju “Profesionālajā izglītībā iesaistīto izglītojamo skaits”, norādīts, ka to skaitā ir jaunieši vecumā no 18 līdz 29 gadiem, kuri uz iesaistes brīdi pasākumā nemācās un nav nodarbināti (NEET jaunieši). Tā kā atbalsts NEET jauniešiem tiek sniegts 4.2.3.4. pasākuma “Sekmēt NEET jauniešu integrēšanos izglītībā un nodarbinātībā” ietvaros Jaunatnes starptautiskās programmu aģentūras īstenotājā projektā, tad, lai novērstu dubultā finansējuma risku un iespējamu sasniedzamo uzraudzības rādītāju pārklāšanos, lūdzam izvērtēt un anotācijā detalizēti skaidrot 4.2.3.4.pasākuma un 6.1.1.5.pasākuma sasaisti un papildināmību.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īsteno projektu, kas nav saistīts ar saimnieciskās darbības veikšanu, un sadarbības partneri īsteno projektu, kas nav saistīts ar saimnieciskās darbības veikšanu vai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profesionālās tālākizglītības pakalpojumu nodrošina pakalpojuma sniedzējs, kas nav valsts vispārējas izglītības sistēmas iestāde un kuru nefinansē un neuzrauga valsts, uz to nevar attiecināt nosacījumu par ieņēmumu izdevumu proporciju (50% robežlimits), lai izdarītu secinājumu, ka atbalsts netiks sniegts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to, kas var tikt uzskatīta par nesaimniecisku izglītību, sniegts </w:t>
            </w:r>
            <w:r w:rsidR="00000000" w:rsidRPr="00000000" w:rsidDel="00000000">
              <w:rPr>
                <w:i w:val="1"/>
                <w:rtl w:val="0"/>
              </w:rPr>
              <w:t xml:space="preserve">Komisijas paziņojumā par Līguma par Eiropas Savienības darbību 107. panta 1. punktā minēto valsts atbalsta jēdzienu</w:t>
            </w:r>
            <w:r w:rsidR="00000000" w:rsidRPr="00000000" w:rsidDel="00000000">
              <w:rPr>
                <w:rtl w:val="0"/>
              </w:rPr>
              <w:t xml:space="preserve"> 28.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noteikumu projektu ar nosacījumu, ka tikai attiecībā uz noteikumu projekta 15.1. apakšpunktā minētajiem sadarbības partneriem, kas ir izglītības iestādes, kas nodrošina izglītības pakalpojuma sniegšanu valsts izglītības sistēmas ietvaros un kuras finansē un uzrauga valsts, kritēriju par saimnieciskās darbības veikšanu vērtē, ņemot vērā ieņēmumus no saimnieciskās darbības pret izdevumiem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atbalsts tiek sniegts izglītības iestādēm, kas sniedz tādus pakalpojumus, kas pieejami tirgū un nav valsts nodrošināta izglītība atbilstoši augstākminētā Valsts atbalsta jēdziena dokumenta 28.punktam, attiecībā uz tām nevar izslēgt komercdarbības atbalsta sniegšanu, pamatojoties uz ieņēmumu izdevumu proporcijas analīzi. Šādā gadījumā ir skaidrs, ka tā ir saimnieciskā darbība un tāpēc izslēgt komercdarbības atbalsta esamību izglītības iestādei iespējams, ja neizpildās kāda no Komercdarbības atbalsta kontroles likuma 5. pantā noteiktajām pazīmēm. Pirmšķietami varētu izslēgt plānotā atbalsta ietekmi uz tirdzniecību un konkurenci ES iekšējā tirgū, attiecīgi lūdzam papildināt noteikumu projektu ar kritērijiem šīs pazīmes vērtēšanai, atbilstoši kuriem tiktu izvērtēta katra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atbilstošu informāciju arī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atbalsts modulārās profesionālās tālākizglītības programmas apguvei darba vidē balstītu mācību uzņēmumā vai pie amata meistara formā, kas mērķa grupas personai dod iespēju iegūt profesionālo kvalifikāciju vai profesionālās kvalifikācijas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izvairītos no iespējamā komercdarbības atbalsta kontroles tiesību pārkāpuma, pirmkārt, anotācijā ir iekļaujama informācija par to, kā tiks izvēlēti noteikumu projekta 26.5. apakšpunktā noteiktie uzņēmumi. Ja plānots tos izvēlēties atklāta konkursa kārtībā, veicot tirgus izpēti, tādējādi būtu nodrošināts, ka tiem netiek piešķirtas ekonomiskās priekšrocības. Otrkārt, lūdzam izvērtēt arī nepieciešamību atbilstoši papildināt noteikumu projektu. Ja tos nav plānots izvēlēties šādā kārtībā, lūdzam skaidrot procedūru un sniegt informāciju, lai būtu iespējams izvērtēt, vai pasākuma ietvaros tiem netiek piešķirts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asistenta, ergoterapeita vai surdotulka pakalpojuma nodrošinājumam mērķa grupas personai ar invaliditāti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w:t>
            </w:r>
            <w:r w:rsidR="00000000" w:rsidRPr="00000000" w:rsidDel="00000000">
              <w:rPr>
                <w:rtl w:val="0"/>
              </w:rPr>
              <w:t xml:space="preserve">26.9.</w:t>
            </w:r>
            <w:r w:rsidR="00000000" w:rsidRPr="00000000" w:rsidDel="00000000">
              <w:rPr>
                <w:rtl w:val="0"/>
              </w:rPr>
              <w:t xml:space="preserve">un </w:t>
            </w:r>
            <w:r w:rsidR="00000000" w:rsidRPr="00000000" w:rsidDel="00000000">
              <w:rPr>
                <w:rtl w:val="0"/>
              </w:rPr>
              <w:t xml:space="preserve">26.10.</w:t>
            </w:r>
            <w:r w:rsidR="00000000" w:rsidRPr="00000000" w:rsidDel="00000000">
              <w:rPr>
                <w:rtl w:val="0"/>
              </w:rPr>
              <w:t xml:space="preserve"> apakšpunktā minētās atbalstāmās darbības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komercdarbības atbalsta kontroles kontekstā anotācijā skaidrot, vai noteikumu projekta 26.11. apakšpunktā norādītās atbalstāmās darbības īstenošanai nepieciešamo asistenta, ergoterapeita vai surdotulka pakalpojuma sniedzēju izvēlas pats mērķa grupas dalībnieks (fiziska persona), vai arī, īstenojot iepirkuma procedūru par šo pakalpojumu nodrošināšanu (ja iepirkuma veidā, tad noteikumu projekta 55. punktā iekļaujama arī noteikumu projekta 26.11. apakšpunktā atbalstāmā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finansējuma saņēmēja  projekta vadības personāla un īstenošanas personāla izmaksas (izņemot virsstundas)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26.11.</w:t>
            </w:r>
            <w:r w:rsidR="00000000" w:rsidRPr="00000000" w:rsidDel="00000000">
              <w:rPr>
                <w:rtl w:val="0"/>
              </w:rPr>
              <w:t xml:space="preserve">, </w:t>
            </w:r>
            <w:r w:rsidR="00000000" w:rsidRPr="00000000" w:rsidDel="00000000">
              <w:rPr>
                <w:rtl w:val="0"/>
              </w:rPr>
              <w:t xml:space="preserve">26.12.</w:t>
            </w:r>
            <w:r w:rsidR="00000000" w:rsidRPr="00000000" w:rsidDel="00000000">
              <w:rPr>
                <w:rtl w:val="0"/>
              </w:rPr>
              <w:t xml:space="preserve">, </w:t>
            </w:r>
            <w:r w:rsidR="00000000" w:rsidRPr="00000000" w:rsidDel="00000000">
              <w:rPr>
                <w:rtl w:val="0"/>
              </w:rPr>
              <w:t xml:space="preserve">26.13.</w:t>
            </w:r>
            <w:r w:rsidR="00000000" w:rsidRPr="00000000" w:rsidDel="00000000">
              <w:rPr>
                <w:rtl w:val="0"/>
              </w:rPr>
              <w:t xml:space="preserve">, </w:t>
            </w:r>
            <w:r w:rsidR="00000000" w:rsidRPr="00000000" w:rsidDel="00000000">
              <w:rPr>
                <w:rtl w:val="0"/>
              </w:rPr>
              <w:t xml:space="preserve">26.14.</w:t>
            </w:r>
            <w:r w:rsidR="00000000" w:rsidRPr="00000000" w:rsidDel="00000000">
              <w:rPr>
                <w:rtl w:val="0"/>
              </w:rPr>
              <w:t xml:space="preserve">, </w:t>
            </w:r>
            <w:r w:rsidR="00000000" w:rsidRPr="00000000" w:rsidDel="00000000">
              <w:rPr>
                <w:rtl w:val="0"/>
              </w:rPr>
              <w:t xml:space="preserve">26.16.</w:t>
            </w:r>
            <w:r w:rsidR="00000000" w:rsidRPr="00000000" w:rsidDel="00000000">
              <w:rPr>
                <w:rtl w:val="0"/>
              </w:rPr>
              <w:t xml:space="preserve">, </w:t>
            </w:r>
            <w:r w:rsidR="00000000" w:rsidRPr="00000000" w:rsidDel="00000000">
              <w:rPr>
                <w:rtl w:val="0"/>
              </w:rPr>
              <w:t xml:space="preserve">26.17.</w:t>
            </w:r>
            <w:r w:rsidR="00000000" w:rsidRPr="00000000" w:rsidDel="00000000">
              <w:rPr>
                <w:rtl w:val="0"/>
              </w:rPr>
              <w:t xml:space="preserve">, </w:t>
            </w:r>
            <w:r w:rsidR="00000000" w:rsidRPr="00000000" w:rsidDel="00000000">
              <w:rPr>
                <w:rtl w:val="0"/>
              </w:rPr>
              <w:t xml:space="preserve">26.18.</w:t>
            </w:r>
            <w:r w:rsidR="00000000" w:rsidRPr="00000000" w:rsidDel="00000000">
              <w:rPr>
                <w:rtl w:val="0"/>
              </w:rPr>
              <w:t xml:space="preserve"> un </w:t>
            </w:r>
            <w:r w:rsidR="00000000" w:rsidRPr="00000000" w:rsidDel="00000000">
              <w:rPr>
                <w:rtl w:val="0"/>
              </w:rPr>
              <w:t xml:space="preserve">26.19.</w:t>
            </w:r>
            <w:r w:rsidR="00000000" w:rsidRPr="00000000" w:rsidDel="00000000">
              <w:rPr>
                <w:rtl w:val="0"/>
              </w:rPr>
              <w:t xml:space="preserve">apakšpunktā  minēto atbalstāmo darbību īstenošanai, kuras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Parlamenta un Padomes regula Nr. 2021/1060) 55. panta 1. punktu projekta iesniegumā plāno kā vienu izmaksu pozīciju, piemērojot izmaksu vienoto likmi 17 procentu apmērā no pārējām tiešajām attiecināmajām izmaksām, kas nav personāla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noteiktais likmes apmērs vēl nav saskaņots ar vadošo iestādi, proti, iesniegtais aprēķins vēl ir jāprecizē, secīgi tikai pēc tam vadošā iestāde varēs saskaņot  noteikumu projektā noteikto likmes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informāciju par vienoto personāla izmaksu likmi un tās pamatojumu (t.sk. plānotā personāla amatus) precizēt atbilstoši vadošās iestādes sniegtajiem komentāriem par likmes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par nelikumīga komercdarbības atbalsta atgūšanu gadījumā, ja projekts, kas nav saistīts ar saimnieciskās darbības veikšanu, kļūst par projektu, kas ir saistīts ar saimnieciskās darbības veikšanu, un tam sniegtais atbalsts kvalificējams kā komercdarbības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sadarbības partneris veic saimniecisko darbību, lūdzam papildināt noteikumu projektu ar nosacījumu, ka sadarbības partneris nodrošinās atsevišķu darījumu ieņēmumu un izdevumu grāmatvedības uzskaiti, kā arī darbību un ar to īstenošanu saistīto finanšu plūsmu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Īstenojot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26.9.</w:t>
            </w:r>
            <w:r w:rsidR="00000000" w:rsidRPr="00000000" w:rsidDel="00000000">
              <w:rPr>
                <w:rtl w:val="0"/>
              </w:rPr>
              <w:t xml:space="preserve">, </w:t>
            </w:r>
            <w:r w:rsidR="00000000" w:rsidRPr="00000000" w:rsidDel="00000000">
              <w:rPr>
                <w:rtl w:val="0"/>
              </w:rPr>
              <w:t xml:space="preserve">26.16.</w:t>
            </w:r>
            <w:r w:rsidR="00000000" w:rsidRPr="00000000" w:rsidDel="00000000">
              <w:rPr>
                <w:rtl w:val="0"/>
              </w:rPr>
              <w:t xml:space="preserve"> un </w:t>
            </w:r>
            <w:r w:rsidR="00000000" w:rsidRPr="00000000" w:rsidDel="00000000">
              <w:rPr>
                <w:rtl w:val="0"/>
              </w:rPr>
              <w:t xml:space="preserve">26.18.</w:t>
            </w:r>
            <w:r w:rsidR="00000000" w:rsidRPr="00000000" w:rsidDel="00000000">
              <w:rPr>
                <w:rtl w:val="0"/>
              </w:rPr>
              <w:t xml:space="preserve"> minētās atbalstāmās darbības, kā arī lai nodrošinātu šo noteikumu </w:t>
            </w:r>
            <w:r w:rsidR="00000000" w:rsidRPr="00000000" w:rsidDel="00000000">
              <w:rPr>
                <w:rtl w:val="0"/>
              </w:rPr>
              <w:t xml:space="preserve">26.3.</w:t>
            </w:r>
            <w:r w:rsidR="00000000" w:rsidRPr="00000000" w:rsidDel="00000000">
              <w:rPr>
                <w:rtl w:val="0"/>
              </w:rPr>
              <w:t xml:space="preserve"> un </w:t>
            </w:r>
            <w:r w:rsidR="00000000" w:rsidRPr="00000000" w:rsidDel="00000000">
              <w:rPr>
                <w:rtl w:val="0"/>
              </w:rPr>
              <w:t xml:space="preserve">26.4.</w:t>
            </w:r>
            <w:r w:rsidR="00000000" w:rsidRPr="00000000" w:rsidDel="00000000">
              <w:rPr>
                <w:rtl w:val="0"/>
              </w:rPr>
              <w:t xml:space="preserve"> apakšpunktā minēto atbalstāmo darbību īstenošanai nepieciešamo informatīvo un izdales materiālu sagatavošanu, publiskos iepirkumus finansējuma saņēmējs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integrēšana preču un pakalpojuma iepirkumos (zaļais publiskais iepirkums).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55. punktu par publisko iepirkumu organizēšanu arī attiecībā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svītrot informāciju par Izglītības un zinātnes ministrijas pieņēmumiem attiecībā uz to, ka gan tehnikumu, gan profesionālo vidusskolu, gan profesionālās tālākizglītības centru gūtie ieņēmumi par pieaugušo formālās izglītības programmu nodrošināšanu nepārsniedz pat pusi no to izdevumiem, jo pieņēmumi nevar kalpot kā pamatojums, lai izslēgtu atbalsta sniegšanu saimnieciskai darbībai potenciālajiem sadarbības partneriem - izglītības iestādēm, un nav balstīts uz pārbaudāmiem datiem. Aicinām secinājumus balstīt aktuālos statistikas datos.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anotācijā norādīto, ka Valsts izglītības attīstības aģentūra veiks izvērtējumu par sadarbības partneri - izglītības iestādi, tostarp, atbilstoši Komercdarbības atbalsta kontroles likuma 5. panta 4. pazīmei, aicinām izvērtēt, vai noteikumu projektā būtu jāiekļauj kritēriji par sadarbības partnera vērtēšanu attiecībā uz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mācību pakalpojuma sniedzēja jeb izglītības iestādes atlase tiks īstenota atklātā, pārredzamā, nediskriminējošā un konkurenci nodrošinošā procedūrā saskaņā ar normatīvajiem aktiem publisko iepirkumu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2025. gadā līdz vienošanās par projekta īstenošanu noslēgšanai ar Centrālo finanšu un līgumu aģentūru 6.1.1.5. pasākuma "Nodarbināto prasmju paaugstināšana un atbalsts kvalifikācijas iegūšanai, atbalsts darbaspēka mācībām saskaņā ar uzņēmumu pieprasījumu" (turpmāk – 6.1.1.5. pasākums) projekta īstenošanai nepieciešamo finansējumu attiecināmo izmaksu segšanai Valsts izglītības attīstības aģentūrai kā 6.1.1.5. pasākuma plānotajam finansējuma saņēmējam (turpmāk – 6.1.1.5.pasākuma finansējuma saņēmējs) līdz 258 520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2018. gada 17. jūlija Ministru kabineta noteikumu Nr. 421 "Kārtība, kādā veic gadskārtējā valsts budžeta likumā noteiktās apropriācijas izmaiņas" 24.2. apakšpunkts paredz, ka no 80.00.00. programmas līdzekļus var pārdalīt izņēmuma kārtā pirms Eiropas Savienības fondu projektu iesnieguma apstiprināšanas sadarbības iestādē, ja Ministru kabinets, pamatojoties uz iesniegto argumentāciju un risku analīzi, ir pieņēmis lēmumu par konkrētā plānotā projekta izdevumu priekšfinansēšanu noteiktā apjomā un izdevumu pozīcijām atbilstoši projektā izvirzītajam mērķim. Lūdzam papildināt informāciju anotācijas 3.sadaļas sadaļā “Cita informācija”, vai arī pievienot anotācijai pielikumu pieprasītajam priekšfinansējumam no 80.00.00. programmas 258 520 euro apmērā, pievienojot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īsteno projektu, kas nav saistīts ar saimnieciskās darbības veikšanu, un sadarbības partneri īsteno projektu, kas nav saistīts ar saimnieciskās darbības veikšanu vai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13.punkta mērķi un būtību. Vēršam uzmanību, ka finansējuma saņēmējs un sadarbības partneris īsteno vienu un to pašu projektu. Saskaņā ar Ministru kabineta 2023.gada 13.jūlija noteikumu Nr.408 "Kārtība, kādā Eiropas Savienības fondu vadībā iesaistītās institūcijas nodrošina šo fondu ieviešanu 2021.–2027. gada plānošanas periodā" 3.punktu finansējuma saņēmējs, </w:t>
            </w:r>
            <w:r w:rsidR="00000000" w:rsidRPr="00000000" w:rsidDel="00000000">
              <w:rPr>
                <w:u w:val="single"/>
                <w:rtl w:val="0"/>
              </w:rPr>
              <w:t xml:space="preserve">saglabājot atbildību par projekta īstenošanu</w:t>
            </w:r>
            <w:r w:rsidR="00000000" w:rsidRPr="00000000" w:rsidDel="00000000">
              <w:rPr>
                <w:rtl w:val="0"/>
              </w:rPr>
              <w:t xml:space="preserve">, mērķu sasniegšanu, izdevumu attiecināmību, kā arī maksājumu veikšanu un iepirkuma procedūras veikšanu, </w:t>
            </w:r>
            <w:r w:rsidR="00000000" w:rsidRPr="00000000" w:rsidDel="00000000">
              <w:rPr>
                <w:u w:val="single"/>
                <w:rtl w:val="0"/>
              </w:rPr>
              <w:t xml:space="preserve">var projekta īstenošanā piesaistīt </w:t>
            </w:r>
            <w:r w:rsidR="00000000" w:rsidRPr="00000000" w:rsidDel="00000000">
              <w:rPr>
                <w:rtl w:val="0"/>
              </w:rPr>
              <w:t xml:space="preserve">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izglītības iestādes šo noteikumu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un </w:t>
            </w:r>
            <w:r w:rsidR="00000000" w:rsidRPr="00000000" w:rsidDel="00000000">
              <w:rPr>
                <w:rtl w:val="0"/>
              </w:rPr>
              <w:t xml:space="preserve">26.15.</w:t>
            </w:r>
            <w:r w:rsidR="00000000" w:rsidRPr="00000000" w:rsidDel="00000000">
              <w:rPr>
                <w:rtl w:val="0"/>
              </w:rPr>
              <w:t xml:space="preserve">  apakšpunktā minēto atbalstāmo darbību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noteikumu projekta 20.4.4.apakšpunkta un no 47.punkta secināms, ka sadarbības partneri - izglītības iestādes - nodrošina arī noteikumu projekta 26.6. un 26.9.apakšpunktā norādīto atbalstāmo darbību īstenošanu, lūdzam izvērtēt, vai noteikumu projekta 15.1.apakšpunktu nav nepieciešams papildināt ar atsauci uz 26.6. un 26.9.apakšpunktu.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nepieciešamības gadījumā papildināt noteikumu projektu vai anotāciju ar nosacījumiem noteikumu projekta 15.3.apakšpunktā norādītā sadarbības partnera - pašvaldību - izvēles nosacījumiem sadarbības līguma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sadarboties ar uzņēmumiem, kuru faktiskā darbības adrese ir Latgales, Vidzemes, Zemgales un Kurzemes statistiskais reģions, darba vidē balstītu mācību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16.4. un 17.3.apakšpunktā ietverto normu par sadarbības partneru pienākumu sadarboties ar uzņēmumiem un iestādēm mērķi un būtību. Papildus vēršam uzmanību, ka saskaņā ar Ministru kabineta 2023.gada 13.jūlija noteikumu Nr.408 "Kārtība, kādā Eiropas Savienības fondu vadībā iesaistītās institūcijas nodrošina šo fondu ieviešanu 2021.–2027. gada plānošanas periodā" 4.punktu sadarbības partneris nav tiesīgs ar projekta īstenošanu saistītās tiesības un pienākumus nodot citai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  pievienojot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w:t>
            </w:r>
            <w:r w:rsidR="00000000" w:rsidRPr="00000000" w:rsidDel="00000000">
              <w:rPr>
                <w:rtl w:val="0"/>
              </w:rPr>
              <w:t xml:space="preserve">15.5.</w:t>
            </w:r>
            <w:r w:rsidR="00000000" w:rsidRPr="00000000" w:rsidDel="00000000">
              <w:rPr>
                <w:rtl w:val="0"/>
              </w:rPr>
              <w:t xml:space="preserve"> apakšpunktā norādīto sadarbības partneru apliecinājumu par dalību projektā /sadarbību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23.punkta nosacījumiem secināms, ka projekta iesnieguma iesniegšanas un vērtēšanas brīdī tajā būs norādīti sadarbības partneri - plānošanas reģiona administrācijas, Nodarbinātības valsts aģentūra un Ekonomikas ministrija, - taču nebūs norādīti noteikumu projekta 15.1. un 15.3.apakšpunktā norādītie sadarbības partneri - izglītības iestādes un pašvaldības. Ņemot vērā minēto, lūdzam anotācijā skaidrot, kā tiks veikta noteikumu projekta 15.1. un 15.3.apakšpunktā norādīto sadarbības partneru izslēgšanas nosacījumu pārbaude, kā arī to projekta iesnieguma vērtēšanas kritēriju pārbaude, kur tiek vērtēta sadarbības partneru iesaiste atbilstoši vadošās iestādes metodikas Nr.3.1. “Eiropas Reģionālās attīstības fonda, Eiropas Sociālā fonda plus, Kohēzijas fonda un Taisnīgas pārkārtošanās fonda projektu iesniegumu atlases metodika 2021.–2027.gadam” nosacījumiem. Papildus vēršam uzmanību, ka no noteikumu projekta 21.punkta izriet, ka projekta iesniegumā pamato visu sadarbības partneru izvēli, nevis tikai noteikumu projekta 15.2., 15.4. un 15.5.apakšpunktā minēto sadarbības partneru izvēli. Aicinām precizēt noteikumu projekta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maksājumu veikšanas kārtību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26.15.</w:t>
            </w:r>
            <w:r w:rsidR="00000000" w:rsidRPr="00000000" w:rsidDel="00000000">
              <w:rPr>
                <w:rtl w:val="0"/>
              </w:rPr>
              <w:t xml:space="preserve"> apakšpunktā minēto atbalstāmo darbību īstenošanai un tiešo attiecināmo izmaksu segšanai;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24.1.apakšpunktu, nosakot maksājuma veikšanas kārtību sadarbības partneriem arī noteikumu projekta 26.9. un 26.10.apakšpunktā noteikto atbalstāmo darbību īstenošanai, jo no noteikumu projekta 47.punkta ir secināms, ka noteikumu projekta 15.1.apakšpunktā norādītie sadarbības partneri - izglītības iestādes - ir iesaistīti arī 26.9.apakšpunktā norādīto atbalstāmo darbību īstenošanā un no noteikumu projekta 29.8.6. un 29.11.1.apakšpunkta ir secināms, ka sadarbības partneri - izglītības iestādes un pašvaldības - ir iesaistīti 26.10.apakšpunktā norādītās atbalstāmās darbības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jaunradītu darba vietu aprīkojuma, tai skaitā biroja mēbeļu un tehnikas, datorprogrammu un licenču iegādes vai īres izmaksas finansējuma saņēmēja projekta vadības un īstenošanas personālam,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procentuālajam sadalījumam atbilstoši darbinieka iesaistes periodam projektā pret projekta kopējo īstenošanas ilgumu, ņemot vērā rīkojumā noteikto darbinieka darba laika proporciju vai iepriekšējā mēnesī faktiski nostrādāto darba laiku brīdī, kad darbinieks saņem darba vietas aprīkojumu lietošanā;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29.2.apakšpunktu, aiz vārdiem "projekta īstenošanas laikā" ar vārdiem "vai ja esošo darba vietu aprīkojums ir nolietojies un tiek norakstīts.'' Attiecīgi lūdzam papildināt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jaunradītu darba vietu aprīkojuma, tai skaitā biroja mēbeļu un tehnikas, datorprogrammu un licenču iegādes vai īres izmaksas finansējuma saņēmēja projekta vadības un īstenošanas personālam, tai skaitā aprīkojuma uzturēšanas un remonta izmaksas ne vairāk kā 3000 euro apmērā vienai darba vietai visā projekta īstenošanas laikā v</w:t>
            </w:r>
            <w:r w:rsidR="00000000" w:rsidRPr="00000000" w:rsidDel="00000000">
              <w:rPr>
                <w:u w:val="single"/>
                <w:rtl w:val="0"/>
              </w:rPr>
              <w:t xml:space="preserve">ai, ja esošo darba vietu aprīkojums ir nolietojies un tiek norakstīts</w:t>
            </w:r>
            <w:r w:rsidR="00000000" w:rsidRPr="00000000" w:rsidDel="00000000">
              <w:rPr>
                <w:rtl w:val="0"/>
              </w:rPr>
              <w:t xml:space="preserve">.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procentuālajam sadalījumam atbilstoši darbinieka iesaistes periodam projektā pret projekta kopējo īstenošanas ilgumu, ņemot vērā rīkojumā noteikto darbinieka darba laika proporciju vai iepriekšējā mēnesī faktiski nostrādāto darba laiku brīdī, kad darbinieks saņem darba vietas aprīkojumu lietošanā;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izmaksas, ko finansējuma saņēmējs plāno šo noteikumu </w:t>
            </w:r>
            <w:r w:rsidR="00000000" w:rsidRPr="00000000" w:rsidDel="00000000">
              <w:rPr>
                <w:rtl w:val="0"/>
              </w:rPr>
              <w:t xml:space="preserve">15.1.</w:t>
            </w:r>
            <w:r w:rsidR="00000000" w:rsidRPr="00000000" w:rsidDel="00000000">
              <w:rPr>
                <w:rtl w:val="0"/>
              </w:rPr>
              <w:t xml:space="preserve"> apakšpunktā minētajām izglītības iestādēm: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saistībā ar finanšu līdzekļu apguvi, ņemot vērā plānoto vienkāršoto izmaksu metodiku izstrādes un saskaņošanas procesu, lūdzam noteikumu projektā ietvert nosacījumu, ka līdz vienkāršoto izmaksu metodiku apstiprināšanai, konkrētās izmaksu pozīcijas tiek attiecinātas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29.8.11. projekta īstenošanā iesaistīto izglītības iestāžu projekta koordinatoru un grāmatvežu atlīdzības izmaksas, atbilstoši atbildīgās iestādes apstiprinātai vienkāršoto izmaksu metodikai, kas saskaņota ar vadošo iestādi;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attiecināmo izmaksu izsekojamību, lūdzam papildināt noteikumu projekta 29.8.11.apakšpunktu, norādot, kuru noteikumu projektā minēto atbalstāmo darbību īstenošanai paredzētas izglītības iestāžu projektu koordinatoru un grāmatvežu atlīdzības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29.12.6. šo noteikumu </w:t>
            </w:r>
            <w:r w:rsidR="00000000" w:rsidRPr="00000000" w:rsidDel="00000000">
              <w:rPr>
                <w:rtl w:val="0"/>
              </w:rPr>
              <w:t xml:space="preserve">26.1.</w:t>
            </w:r>
            <w:r w:rsidR="00000000" w:rsidRPr="00000000" w:rsidDel="00000000">
              <w:rPr>
                <w:rtl w:val="0"/>
              </w:rPr>
              <w:t xml:space="preserve"> apakšpunktā minētās atbalstāmās darbības īstenošanai nepieciešamo datu ieguvei un apstrādei;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neatbilstoši veiktu izdevumu risku, skaidrai nosacījumu izpratnei lūdzam paplašināt ar atbalstāmo izmaksu piemēriem vai papildināt anotāciju ar izvērstāku 29.12.6.apskšpunktā minēto izmaksu skaidrojumu. Vēršam uzmanību, ka šobrīd nav saprotams, ko tieši šīs izmaksu pozīcijas ietvaros tiek plānots attiecināt – vai tas ir abonēšanas maksas par kādu datubāzi, vai izmaksas datu ieguvei (aptauju organizēšanai), kas domāts ar datu apstrādi, vai var plānot kādu pakalpojuma līgumu utt.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Nodarbinātām mērķa grupas personām, kuras nepārstāv mājsaimniecību, kam piešķirts maznodrošinātas vai trūcīgas mājsaimniecības statuss un kurām nav zems izglītības līmenis šo noteikumu </w:t>
            </w:r>
            <w:r w:rsidR="00000000" w:rsidRPr="00000000" w:rsidDel="00000000">
              <w:rPr>
                <w:rtl w:val="0"/>
              </w:rPr>
              <w:t xml:space="preserve">26.5.</w:t>
            </w:r>
            <w:r w:rsidR="00000000" w:rsidRPr="00000000" w:rsidDel="00000000">
              <w:rPr>
                <w:rtl w:val="0"/>
              </w:rPr>
              <w:t xml:space="preserve"> apakšpunktā minētās mācību izmaksas sedz  90 līdz 100 procentu apmērā, bet šo noteikumu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26.9.</w:t>
            </w:r>
            <w:r w:rsidR="00000000" w:rsidRPr="00000000" w:rsidDel="00000000">
              <w:rPr>
                <w:rtl w:val="0"/>
              </w:rPr>
              <w:t xml:space="preserve"> apakšpunktā minētās mācību izmaksas un šo noteikumu </w:t>
            </w:r>
            <w:r w:rsidR="00000000" w:rsidRPr="00000000" w:rsidDel="00000000">
              <w:rPr>
                <w:rtl w:val="0"/>
              </w:rPr>
              <w:t xml:space="preserve">26.10.</w:t>
            </w:r>
            <w:r w:rsidR="00000000" w:rsidRPr="00000000" w:rsidDel="00000000">
              <w:rPr>
                <w:rtl w:val="0"/>
              </w:rPr>
              <w:t xml:space="preserve"> apakšpunktā minētās ārpus formālās izglītības sistēmas apgūtās profesionālās kompetences novērtēšanas izmaksas sedz 50 līdz 90 procentu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lai pēc atlases izsludināšanas projekta iesniedzējs varētu plānot izmaksas, Ekonomikas ministrijas komisijas izvērtējumam jābūt pieejamam vēl uz atlases izsludināšanas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Pasākuma ietvaros finansējuma saņēmējam izmaksas ir attiecināmas no 2025. gada 2. janvāra, ja tās atbilst šajos noteikumos minētajām izmaksu pozīcijām. Projekta iesniegumā neiekļauj un finansējumu nepiešķir pabeigtām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tekstu noteikumu projekta 36.punktā “Projekta iesniegumā neiekļauj un finansējumu nepiešķir pabeigtām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projekta darbību intensificēšanu, kā arī to, ka Regulas 2021/1060 63.panta 6.punktam izpratnē ar darbību ("operation") tiek saprasts viss projekts, nevis atsevišķas projekta ietvaros veicamās darbības, lūdzam izvērtēt, vai šāds formulējums neierobežos kādu atsevišķu atbalstāmo darbību iekļaušanu projektā. Attiecīgi aicinām precizēt arī sadaļā "6.1.1.5. pasākuma īstenošanas periods un uzraudzības nosacījumi" iekļauto tekstu “Vienlaikus nav attiecināmas jau pabeigtas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Mērķa grupas personas iesaista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26.9.</w:t>
            </w:r>
            <w:r w:rsidR="00000000" w:rsidRPr="00000000" w:rsidDel="00000000">
              <w:rPr>
                <w:rtl w:val="0"/>
              </w:rPr>
              <w:t xml:space="preserve"> apakšpunktā minētajās atbalstāmajās darbībās ievērojot šādus nosacījums: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sniegšanu lielākam mērķa grupas personu skaitam, lūdzam izvērtēt nepieciešamību noteikt maksimālo reižu skaitu mērķa grupas personu iesaistei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Īstenojot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vai </w:t>
            </w:r>
            <w:r w:rsidR="00000000" w:rsidRPr="00000000" w:rsidDel="00000000">
              <w:rPr>
                <w:rtl w:val="0"/>
              </w:rPr>
              <w:t xml:space="preserve">26.9.</w:t>
            </w:r>
            <w:r w:rsidR="00000000" w:rsidRPr="00000000" w:rsidDel="00000000">
              <w:rPr>
                <w:rtl w:val="0"/>
              </w:rPr>
              <w:t xml:space="preserve"> apakšpunktā minēto darbību šo noteikumu </w:t>
            </w:r>
            <w:r w:rsidR="00000000" w:rsidRPr="00000000" w:rsidDel="00000000">
              <w:rPr>
                <w:rtl w:val="0"/>
              </w:rPr>
              <w:t xml:space="preserve">15.1.</w:t>
            </w:r>
            <w:r w:rsidR="00000000" w:rsidRPr="00000000" w:rsidDel="00000000">
              <w:rPr>
                <w:rtl w:val="0"/>
              </w:rPr>
              <w:t xml:space="preserve"> apakšpunktā minētās izglītības iestādes ievēro šādus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15.1.apakspunktā ir norādīts, ka sadarbības partneris izglītības iestāde piedalās noteikumu projekta 26.3., 26.4., 26.5., 26.7., 26.8. un 26.15.apakšpunktā norādītajās atbalstāmajās darbībās, lūdzam izvērtēt un nepieciešamības gadījumā savstarpēji salāgot noteikumu projekta nosacījumus par to, kādu atbalstāmo darbību īstenošana ir iesaistīts sadarbības partneris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kārtību, kādā mērķa grupas personas var apstrīdēt lēmumu par tās iesaisti noteikumu projekta 26.5. - 26.10. apakšpunktā minētajās atbalstāmajās darbībās vai atteikumu piešķirt noteikumu projekta 26.11. – 26.15.apakšpunktā minētos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"Vai ir izvērtēts prasību un izmaksu samērīgums pret ieguvumiem?" norādīt galvenos secinājumus, kas izriet no pielikumā pievienotās izmaksu un ieguvumu analīzes, proti, ka uz katru ieguldīto </w:t>
            </w:r>
            <w:r w:rsidR="00000000" w:rsidRPr="00000000" w:rsidDel="00000000">
              <w:rPr>
                <w:i w:val="1"/>
                <w:rtl w:val="0"/>
              </w:rPr>
              <w:t xml:space="preserve">euro</w:t>
            </w:r>
            <w:r w:rsidR="00000000" w:rsidRPr="00000000" w:rsidDel="00000000">
              <w:rPr>
                <w:rtl w:val="0"/>
              </w:rPr>
              <w:t xml:space="preserve"> projekta atdeve būs 4,66 </w:t>
            </w:r>
            <w:r w:rsidR="00000000" w:rsidRPr="00000000" w:rsidDel="00000000">
              <w:rPr>
                <w:i w:val="1"/>
                <w:rtl w:val="0"/>
              </w:rPr>
              <w:t xml:space="preserve">euro </w:t>
            </w:r>
            <w:r w:rsidR="00000000" w:rsidRPr="00000000" w:rsidDel="00000000">
              <w:rPr>
                <w:rtl w:val="0"/>
              </w:rPr>
              <w:t xml:space="preserve">un ka projekta ekonomiskās pašreizējā vērtība (ENPV) ir aptuveni 64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aprēķinu modeļa izklājlapā "9. DL PIV 2.pielikums" šūnā B19 svītrot norādīto summu, jo tā jānorāda tikai tādā gadījumā, ja pieejamā ES fondu kvota projektam ir mazāka, nekā nepieciešamais ES fonda līdzfinansējums, kas šajā gadījumā tā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apakšsadaļas "Risinājuma apraksts" punktu par 6.1.1.5.pasākuma īstenošanas uzraudzību (atsauce uz normatīvajiem aktiem par Eiropas Sociālā fonda Plus īstenošanas un uzraudzības kārtību, tostarp ņemot vērā, ka šis ir Taisnīgas pārkārtošanās fonda projekts), precīzi norādot normatīvos aktus, saskaņā ar kuriem Valsts izglītības attīstības aģentūra (turpmāk - VIAA) veic projekta īstenošanas uzraudzību, kā arī norādīt institūcijas, ar kurām VIAA sadarbojas projekta uzraudzības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13.jūlija noteikumu Nr.408 “Kārtība, kādā Eiropas Savienības fondu vadībā iesaistītās institūcijas nodrošina šo fondu ieviešanu 2021.–2027. gada plānošanas periodā” 3.3.apakšpunkta nosacījumiem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Ņemot vērā to, ka anotācijā ir norādīts, ka izglītības iestādes (neatkarīgi no to statusa) sniegs mācību pakalpojumus, lūdzam anotācijā sniegt pamatojumu, ka starp finansējuma saņēmēju un izglītības iestādēm neveidosies tiesiskās attiecības, kas atbilstu publiska iepirkuma līguma pazīmēm, ja atbilstoši noteikumu projekta 16.2.apakšpunkta nosacījumiem profesionālās tālākizglītības programmu vai profesionālās pilnveides izglītības programmu īstenošanu nodrošinās izglītības iestādes, kas ir privāto tiesību juridiskas personas (komersanti).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anotācijā ietverto informāciju par funkciju un izmaksu nepārklāšanos gan attiecībā uz personāla izmaksām projekta ietvaros, kā arī citiem pasākumiem, ko īstenos konkrētais finansējuma saņēmējs un sadarbības partneri, gan arī ar citiem pasākumiem, kur plānotas līdzīgas darbības un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kur aprakstīta plānoto vienkāršoto izmaksu piemērošana, precizēt informāciju, norādot, kuras metodikas plānots pārņemt no  Eiropas Savienības fondu 2021. -2027.gada plānošanas perioda 4.2.4.2. pasākumam apstiprinātajām metodikām, attiecīgi svītrojot atsauci uz Eiropas Savienības struktūrfondu un Kohēzijas fonda 2014. - 2020.gada periodā izstrādātajām metodikām (8.4.1. un 8.3.3.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vienkāršoto izmaksu metodikām, kuras plānotas kā jaunas metodikas – u) finanšu  atlīdzība bērna pieskatīšanai un pozīcijai,  v) finanšu atbalsts izdevumiem par dzīvojamās telpas īri vai dienesta viesnīcu un pozīcijai, s) izmaksas Latgales, Vidzemes, Zemgales un Kurzemes reģiona administrācijām izmaksu pozīcijām, lūdzam papildināt ar izmaksu pozīciju r) - izglītības iestāžu koordinatoru un grāmatvežu personāla izmaksas, vienlaikus aicinām izvērtēt iespēju precizēt izmaksu pozīcijas nosaukumu, aizstājot grāmatvežus ar finanšu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3.,5.,7. un 8.kolonnas 5.1.apakšpunktā ir norādāms finansējums atbilstoši šīs sadaļas 5.punktā norādītajām finansiālajām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Taisnīgas pārkārtošanās fonda, nevis Eiropas Sociālā fonda Plus, projekta īstenošanu, turklāt noteikumu projekta 53.6.apakšpunkts paredz finansējuma saņēmēja pienākumu uzkrāt datus par mērķa grupas personām atbilstoši Eiropas Parlamenta un Padomes 2021.gada 24.jūnija Regulas (ES) 2021/1056, ar ko izveido Taisnīgas pārkārtošanās fondu, III pielikumam un normatīvajiem aktiem, kas nosaka Eiropas Savienības fondu projektu pārbaužu veikšanas kārtību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8.1.13.apakšsadaļā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