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17. jūnija noteikumos Nr. 331 "Elektrisko un elektronisko iekārtu un bateriju vai akumulatoru ražotāju reģistrācijas kārtība un samaksas kārtība par datu uzturēšanu"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apakšsadaļā ietverto informāciju, iepretim noteikumu projekta 3. punktam norādot </w:t>
            </w:r>
            <w:r w:rsidR="00000000" w:rsidRPr="00000000" w:rsidDel="00000000">
              <w:rPr>
                <w:i w:val="1"/>
                <w:rtl w:val="0"/>
              </w:rPr>
              <w:t xml:space="preserve">Eiropas Parlamenta un Padomes 2023. gada 12. jūlija Regula (ES) 2023/1542 par baterijām un bateriju atkritumiem, ar ko groza Direktīvu 2008/98/EK un Regulu (ES) 2019/1020 un atceļ Direktīvu 2006/66/EK,</w:t>
            </w:r>
            <w:r w:rsidR="00000000" w:rsidRPr="00000000" w:rsidDel="00000000">
              <w:rPr>
                <w:rtl w:val="0"/>
              </w:rPr>
              <w:t xml:space="preserve"> 56. panta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Bateriju ražotājs vai tā pilnvarotais pārstāvis atbilstoši Bateriju regulas 55.panta 12.punktam informē reģistrētāju par jebkuru bateriju ražotāju reģistrā iekļaujamo ziņu izmaiņām, iesniedzot iesniegumu par izmaiņu izdarīšanu bateriju ražotāju reģistrā iekļautajā informācijā (1.</w:t>
            </w:r>
            <w:r w:rsidR="00000000" w:rsidRPr="00000000" w:rsidDel="00000000">
              <w:rPr>
                <w:vertAlign w:val="superscript"/>
                <w:rtl w:val="0"/>
              </w:rPr>
              <w:t xml:space="preserve">2</w:t>
            </w:r>
            <w:r w:rsidR="00000000" w:rsidRPr="00000000" w:rsidDel="00000000">
              <w:rPr>
                <w:rtl w:val="0"/>
              </w:rPr>
              <w:t xml:space="preserve"> vai 1.</w:t>
            </w:r>
            <w:r w:rsidR="00000000" w:rsidRPr="00000000" w:rsidDel="00000000">
              <w:rPr>
                <w:vertAlign w:val="superscript"/>
                <w:rtl w:val="0"/>
              </w:rPr>
              <w:t xml:space="preserve">3</w:t>
            </w:r>
            <w:r w:rsidR="00000000" w:rsidRPr="00000000" w:rsidDel="00000000">
              <w:rPr>
                <w:rtl w:val="0"/>
              </w:rPr>
              <w:t xml:space="preserve"> pielikums). Šādā gadījumā reģistrētājs nodrošina bateriju ražotāju reģistrā iekļautās informācijas aktualizēšanu 10 darbdienu laikā no iesnieguma saņemšanas dienas. Reģistrētājs ir tiesīgs aktualizēt bateriju ražotāju reģistrā iekļauto informāciju, pamatojoties uz publiski pieejamo no citām valsts nozīmes informācijas sistēmām saņemto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tiesiskās noteiktības nolūkā grozīto noteikumu 29. punkta un 30. punkta pirmajā teikumā iekļaut atsauci uz konkrētu termiņu, kādā bateriju ražotājam vai tā pārstāvim jāinformē reģistrētājs par nepieciešamajām izmaiņām reģistrā vai par darbību ar baterijām pārtraukšanu. Norādām, ka minētajam termiņam jāatbilst korespondējošajā regulas vienībā minētajai norādei "bez liekas kavēšanās", kas noteikumu projekta anotācijā ir pamatojams. Vēršam uzmanību, ka regulas teksta inkorporēšana nacionālajā regulējumā pieļaujama vienīgi izņēmuma gadījumā, pamatojot to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reģistrētā bateriju ražotāja firma, reģistrācijas numurs Uzņēmumu reģistrā vai citas valsts uzņēmējsabiedrību reģistrā, nodokļu maksātāja reģistrācijas kods, juridiskā adrese, kontaktinformācija;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grozīto Ministru kabineta noteikumu 17.1. un 17.2. punktā attiecībā uz iekārtu ražotāju nav paredzēta prasība reģistrēt nodokļu maksātāja reģistrācijas kodu. Ievērojot, ka noteikumu 17. un 31. punkts pēc būtības paredz vienas un tās pašas informācijas reģistrēšanu, tikai attiecībā uz atšķirīgiem subjektiem, būtu nepieciešams skaidrojums, kādēļ nodokļu maksātāja reģistrācijas koda reģistrēšana ir obligāta bateriju ražotājam, bet ne iekārtu ražotājam.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Megija Ķelle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27.01.2026.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27.01.2026.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Atzinumi_25-TA-976.docx</dc:title>
</cp:coreProperties>
</file>

<file path=docProps/custom.xml><?xml version="1.0" encoding="utf-8"?>
<Properties xmlns="http://schemas.openxmlformats.org/officeDocument/2006/custom-properties" xmlns:vt="http://schemas.openxmlformats.org/officeDocument/2006/docPropsVTypes"/>
</file>