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1. ierīce  –  ierīce,  kas Ceļu satiksmes noteikumu, Autopārvadājumu likuma un Autoceļu lietošanas nodevas likuma prasību pārkāpumu nosaka ar tehnisko līdzekli bez operatora līdzdalības un kuras dati tiek izmantoti pārkāpumu konstatēšanai un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2. mērķa transportlīdzeklis  – transportlīdzeklis, kura veiktos Ceļu satiksmes noteikumu, Autopārvadājumu likuma un Autoceļu lietošanas nodevas likuma prasību pārkāpumu nosaka ar tehnisko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3. vidējā  braukšanas  ātruma  kontroles sistēma – automātiska sistēma, kas nosaka mērķa transportlīdzekļa  vidējo  braukšanas  ātrumu,  balstoties  uz  noteikta  ceļa  posma  nobraukšanai  patērēto  laiku. Sistēma ir aprīkota ar reģistrēšanas iekārtām katrā noteiktā ceļa posma kontroles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4. svēršanas gaitā sistēma – automātiska sistēma, kas nosaka mērķa transportlīdzekļa masu (kopējo masu, asu slodzi un citus svara parametrus). Sistēma ir aprīkota ar ceļā iebūvētiem sensoriem un citām tehniskām iekārtām, kas nodrošina transportlīdzekļa ass svara noteikšanu kustībā bez transportlīdzekļa apstādināšanas un tiek  izmantota pārslogotu transportlīdzekļu identificēšanai un pārkāpumu fiksēšanai;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5. kontroles  vieta –   zona,  kas  apzīmēta ar vizuāliem marķieriem un kurā mērķa transportlīdzeklis  iebrauc vai izbrauc no ceļa posma, kur notiek kontrole un aprīkota ar reģistrēšanas iekārtu (kameru), kas reaģē uz  mērķa  transportlīdzekli  un  nodrošina tā identificēšanu.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ar tehniskajiem līdzekļiem, neapturot transportlīdzekli, var tikt fiksēti ne vien Ceļu satiksmes noteikumu prasību neievērošanas pārkāpumi, bet arī Ceļu satiksmes likuma prasību neievērošanas pārkāpumi. Līdz ar to nepieciešams attiecīgi precizēt piedāvāto 1.</w:t>
            </w:r>
            <w:r w:rsidR="00000000" w:rsidRPr="00000000" w:rsidDel="00000000">
              <w:rPr>
                <w:vertAlign w:val="superscript"/>
                <w:rtl w:val="0"/>
              </w:rPr>
              <w:t xml:space="preserve">1</w:t>
            </w:r>
            <w:r w:rsidR="00000000" w:rsidRPr="00000000" w:rsidDel="00000000">
              <w:rPr>
                <w:rtl w:val="0"/>
              </w:rPr>
              <w:t xml:space="preserve"> 2.apakšpunkta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1. ierīce  –  ierīce,  kas Ceļu satiksmes noteikumu, Autopārvadājumu likuma un Autoceļu lietošanas nodevas likuma prasību pārkāpumu nosaka ar tehnisko līdzekli bez operatora līdzdalības un kuras dati tiek izmantoti pārkāpumu konstatēšanai un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2. mērķa transportlīdzeklis  – transportlīdzeklis, kura veiktos Ceļu satiksmes noteikumu, Autopārvadājumu likuma un Autoceļu lietošanas nodevas likuma prasību pārkāpumu nosaka ar tehnisko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3. vidējā  braukšanas  ātruma  kontroles sistēma – automātiska sistēma, kas nosaka mērķa transportlīdzekļa  vidējo  braukšanas  ātrumu,  balstoties  uz  noteikta  ceļa  posma  nobraukšanai  patērēto  laiku. Sistēma ir aprīkota ar reģistrēšanas iekārtām katrā noteiktā ceļa posma kontroles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4. svēršanas gaitā sistēma – automātiska sistēma, kas nosaka mērķa transportlīdzekļa masu (kopējo masu, asu slodzi un citus svara parametrus). Sistēma ir aprīkota ar ceļā iebūvētiem sensoriem un citām tehniskām iekārtām, kas nodrošina transportlīdzekļa ass svara noteikšanu kustībā bez transportlīdzekļa apstādināšanas un tiek  izmantota pārslogotu transportlīdzekļu identificēšanai un pārkāpumu fiksēšanai;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5. kontroles  vieta –   zona,  kas  apzīmēta ar vizuāliem marķieriem un kurā mērķa transportlīdzeklis  iebrauc vai izbrauc no ceļa posma, kur notiek kontrole un aprīkota ar reģistrēšanas iekārtu (kameru), kas reaģē uz  mērķa  transportlīdzekli  un  nodrošina tā identificēšanu.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piedāvāto 1.</w:t>
            </w:r>
            <w:r w:rsidR="00000000" w:rsidRPr="00000000" w:rsidDel="00000000">
              <w:rPr>
                <w:vertAlign w:val="superscript"/>
                <w:rtl w:val="0"/>
              </w:rPr>
              <w:t xml:space="preserve">1</w:t>
            </w:r>
            <w:r w:rsidR="00000000" w:rsidRPr="00000000" w:rsidDel="00000000">
              <w:rPr>
                <w:rtl w:val="0"/>
              </w:rPr>
              <w:t xml:space="preserve"> 2.apakšpunktu, kurā ietverts termina "mērķa transportlīdzeklis" skaidrojums, ņemot vērā, ka ar tehniskajiem līdzekļiem, neapturot transportlīdzekli, var tikt fiksēti ne vien Ceļu satiksmes noteikumu prasību neievērošanas pārkāpumi, bet arī Ceļu satiksmes likuma prasību neievērošanas pārkāpumi.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1. ierīce  –  ierīce,  kas Ceļu satiksmes noteikumu, Autopārvadājumu likuma un Autoceļu lietošanas nodevas likuma prasību pārkāpumu nosaka ar tehnisko līdzekli bez operatora līdzdalības un kuras dati tiek izmantoti pārkāpumu konstatēšanai un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2. mērķa transportlīdzeklis  – transportlīdzeklis, kura veiktos Ceļu satiksmes noteikumu, Autopārvadājumu likuma un Autoceļu lietošanas nodevas likuma prasību pārkāpumu nosaka ar tehnisko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3. vidējā  braukšanas  ātruma  kontroles sistēma – automātiska sistēma, kas nosaka mērķa transportlīdzekļa  vidējo  braukšanas  ātrumu,  balstoties  uz  noteikta  ceļa  posma  nobraukšanai  patērēto  laiku. Sistēma ir aprīkota ar reģistrēšanas iekārtām katrā noteiktā ceļa posma kontroles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4. svēršanas gaitā sistēma – automātiska sistēma, kas nosaka mērķa transportlīdzekļa masu (kopējo masu, asu slodzi un citus svara parametrus). Sistēma ir aprīkota ar ceļā iebūvētiem sensoriem un citām tehniskām iekārtām, kas nodrošina transportlīdzekļa ass svara noteikšanu kustībā bez transportlīdzekļa apstādināšanas un tiek  izmantota pārslogotu transportlīdzekļu identificēšanai un pārkāpumu fiksēšanai;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5. kontroles  vieta –   zona,  kas  apzīmēta ar vizuāliem marķieriem un kurā mērķa transportlīdzeklis  iebrauc vai izbrauc no ceļa posma, kur notiek kontrole un aprīkota ar reģistrēšanas iekārtu (kameru), kas reaģē uz  mērķa  transportlīdzekli  un  nodrošina tā identificēšanu.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piedāvāto 1.</w:t>
            </w:r>
            <w:r w:rsidR="00000000" w:rsidRPr="00000000" w:rsidDel="00000000">
              <w:rPr>
                <w:vertAlign w:val="superscript"/>
                <w:rtl w:val="0"/>
              </w:rPr>
              <w:t xml:space="preserve">1</w:t>
            </w:r>
            <w:r w:rsidR="00000000" w:rsidRPr="00000000" w:rsidDel="00000000">
              <w:rPr>
                <w:rtl w:val="0"/>
              </w:rPr>
              <w:t xml:space="preserve"> 4.apakšpunktu, kurā ietverts termina "svēršanas gaitā sistēma" skaidrojums, jo šāds termins turpmāk šā tiesību akta tekstā netiek 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šajā tiesību normā nav korekta vārdkopas "transportlīdzekļa masa" lietošana, jo pēc būtības transportlīdzekļa svēršanas rezultātā tiek noskaidrota transportlīdzekļa </w:t>
            </w:r>
            <w:r w:rsidR="00000000" w:rsidRPr="00000000" w:rsidDel="00000000">
              <w:rPr>
                <w:u w:val="single"/>
                <w:rtl w:val="0"/>
              </w:rPr>
              <w:t xml:space="preserve">faktiskā</w:t>
            </w:r>
            <w:r w:rsidR="00000000" w:rsidRPr="00000000" w:rsidDel="00000000">
              <w:rPr>
                <w:rtl w:val="0"/>
              </w:rPr>
              <w:t xml:space="preserve"> masa (jeb transportlīdzekļa kopējā </w:t>
            </w:r>
            <w:r w:rsidR="00000000" w:rsidRPr="00000000" w:rsidDel="00000000">
              <w:rPr>
                <w:u w:val="single"/>
                <w:rtl w:val="0"/>
              </w:rPr>
              <w:t xml:space="preserve">faktiskā</w:t>
            </w:r>
            <w:r w:rsidR="00000000" w:rsidRPr="00000000" w:rsidDel="00000000">
              <w:rPr>
                <w:rtl w:val="0"/>
              </w:rPr>
              <w:t xml:space="preserve"> masa). Tāpat nav korekta arī vārdkopas "ass svara" lietošana šajā tiesību normā, jo viens no transportlīdzekļa kopējo faktisko masu raksturojošiem parametriem ir ass </w:t>
            </w:r>
            <w:r w:rsidR="00000000" w:rsidRPr="00000000" w:rsidDel="00000000">
              <w:rPr>
                <w:u w:val="single"/>
                <w:rtl w:val="0"/>
              </w:rPr>
              <w:t xml:space="preserve">slodzes</w:t>
            </w:r>
            <w:r w:rsidR="00000000" w:rsidRPr="00000000" w:rsidDel="00000000">
              <w:rPr>
                <w:rtl w:val="0"/>
              </w:rPr>
              <w:t xml:space="preserve"> mērījums.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1. ierīce  –  ierīce,  kas Ceļu satiksmes noteikumu, Autopārvadājumu likuma un Autoceļu lietošanas nodevas likuma prasību pārkāpumu nosaka ar tehnisko līdzekli bez operatora līdzdalības un kuras dati tiek izmantoti pārkāpumu konstatēšanai un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2. mērķa transportlīdzeklis  – transportlīdzeklis, kura veiktos Ceļu satiksmes noteikumu, Autopārvadājumu likuma un Autoceļu lietošanas nodevas likuma prasību pārkāpumu nosaka ar tehnisko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3. vidējā  braukšanas  ātruma  kontroles sistēma – automātiska sistēma, kas nosaka mērķa transportlīdzekļa  vidējo  braukšanas  ātrumu,  balstoties  uz  noteikta  ceļa  posma  nobraukšanai  patērēto  laiku. Sistēma ir aprīkota ar reģistrēšanas iekārtām katrā noteiktā ceļa posma kontroles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4. svēršanas gaitā sistēma – automātiska sistēma, kas nosaka mērķa transportlīdzekļa masu (kopējo masu, asu slodzi un citus svara parametrus). Sistēma ir aprīkota ar ceļā iebūvētiem sensoriem un citām tehniskām iekārtām, kas nodrošina transportlīdzekļa ass svara noteikšanu kustībā bez transportlīdzekļa apstādināšanas un tiek  izmantota pārslogotu transportlīdzekļu identificēšanai un pārkāpumu fiksēšanai;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5. kontroles  vieta –   zona,  kas  apzīmēta ar vizuāliem marķieriem un kurā mērķa transportlīdzeklis  iebrauc vai izbrauc no ceļa posma, kur notiek kontrole un aprīkota ar reģistrēšanas iekārtu (kameru), kas reaģē uz  mērķa  transportlīdzekli  un  nodrošina tā identificēšanu.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piedāvāto 1.</w:t>
            </w:r>
            <w:r w:rsidR="00000000" w:rsidRPr="00000000" w:rsidDel="00000000">
              <w:rPr>
                <w:vertAlign w:val="superscript"/>
                <w:rtl w:val="0"/>
              </w:rPr>
              <w:t xml:space="preserve">1</w:t>
            </w:r>
            <w:r w:rsidR="00000000" w:rsidRPr="00000000" w:rsidDel="00000000">
              <w:rPr>
                <w:rtl w:val="0"/>
              </w:rPr>
              <w:t xml:space="preserve"> 1.apakšpunktu, kurā ietverts termina "ierīce" skaidrojums, jo šāds termins turpmāk tiesību akta tekstā netiek 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ar tehniskajiem līdzekļiem, neapturot transportlīdzekli, var tikt fiksēti ne vien Ceļu satiksmes noteikumu prasību neievērošanas pārkāpumi, bet arī Ceļu satiksmes likuma prasību neievērošanas pārkāpumi.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Tehniskos līdzekļus uzstāda uz ceļiem vietās vai posmos, kur nepieciešams veikt Ceļu satiksmes noteikumu, Autopārvadājumu likuma un Autoceļu lietošanas nodevas likuma pārkāpumu kontroli, vai novērst ceļu satiksmes negadījumus ar bojāgājušajiem vai cietušajiem.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piedāvāto 2.punkta regulējumu, kurā tiek definēts tehnisko līdzekļu uzstādīšanas uz Latvijas ceļiem mērķis, ņemot vērā, ka ar tehniskajiem līdzekļiem, neapturot transportlīdzekli, var tikt fiksēti ne vien Ceļu satiksmes noteikumu prasību neievērošanas pārkāpumi, bet arī Ceļu satiksmes likuma prasību neievērošanas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vai attiecīgajos ārējos normatīvajos aktos noteikto prasību pārkāpumu kontrole un ceļu satiksmes negadījumu ar bojāgājušajiem vai cietušajiem novēršana ir vienīgie iemesli, kas pamato nepieciešamību uz Latvijas ceļiem uzstādīt tehniskos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vienotas terminoloģijas lietošanu visā tiesību akta tekstā, aicinām piedāvātajā 2.punktā aizstāt vārdu "pārkāpumu" ar vārdiem "prasību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informētu transportlīdzekļu vadītājus par vietām, kur uzstādīti tehniskie līdzekļi, konkrētā ceļa vai ceļa posma pārvaldītājs tās apzīmē ar attiecīgām ceļa zīmēm, apzīmējumiem un citiem ceļu satiksmes organizācijas tehniskajiem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šajā tiesību normā ceļa pārvaldītājam noteiktā prasība par tā pienākumu ar attiecīgām ceļa zīmēm, apzīmējumiem un citiem ceļu satiksmes organizācijas tehniskajiem līdzekļiem apzīmēt vietas uz Latvijas ceļiem, kurās ir uzstādīti tehniskie līdzekļi, pēc būtības var tikt attiecināta tikai uz tām vietām, kurās paredzēta stacionāra attiecīgo tehnisko līdzekļu uzstādīšana. Līdz ar to nepieciešams precizēt projekta 3.punkta regulējumu, papildinot to pēc vārda "uzstādīti" ar vārdu "stacionārie".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Informāciju par vietām, kur uzstādīti stacionāros tehniskos līdzekļi, norādot tehniskā līdzekļa veidu un atrašanās vietu jāpublicē nacionālajā piekļuves punktā transportdata.gov.lv. Informāciju par vietām, kur uzstādīti vai noņemti stacionārie tehniskie līdzekļi, tīmekļvietnēs aktualizē reizi nedēļā.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5.</w:t>
            </w:r>
            <w:r w:rsidR="00000000" w:rsidRPr="00000000" w:rsidDel="00000000">
              <w:rPr>
                <w:vertAlign w:val="superscript"/>
                <w:rtl w:val="0"/>
              </w:rPr>
              <w:t xml:space="preserve">5</w:t>
            </w:r>
            <w:r w:rsidR="00000000" w:rsidRPr="00000000" w:rsidDel="00000000">
              <w:rPr>
                <w:rtl w:val="0"/>
              </w:rPr>
              <w:t xml:space="preserve"> punktu, ietverot tajā tiešu norādi par kompetento institūciju, kuras pienākums būs publicēt nacionālajā piekļuves punktā </w:t>
            </w:r>
            <w:r w:rsidR="00000000" w:rsidRPr="00000000" w:rsidDel="00000000">
              <w:rPr>
                <w:i w:val="1"/>
                <w:u w:val="single"/>
                <w:rtl w:val="0"/>
              </w:rPr>
              <w:t xml:space="preserve">transportdata.gov.lv</w:t>
            </w:r>
            <w:r w:rsidR="00000000" w:rsidRPr="00000000" w:rsidDel="00000000">
              <w:rPr>
                <w:rtl w:val="0"/>
              </w:rPr>
              <w:t xml:space="preserve"> informāciju par vietām, kurās uzstādīti stacionārie tehniskie līdzekļi, kā arī pienākums aktualizēt 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5.</w:t>
            </w:r>
            <w:r w:rsidR="00000000" w:rsidRPr="00000000" w:rsidDel="00000000">
              <w:rPr>
                <w:vertAlign w:val="superscript"/>
                <w:rtl w:val="0"/>
              </w:rPr>
              <w:t xml:space="preserve">5</w:t>
            </w:r>
            <w:r w:rsidR="00000000" w:rsidRPr="00000000" w:rsidDel="00000000">
              <w:rPr>
                <w:rtl w:val="0"/>
              </w:rPr>
              <w:t xml:space="preserve"> punkta pirmajā teikumā nepieciešams aizstāt vārdus "uzstādīti stacionāros tehniskos līdzekļi" ar vārdiem "uzstādīti stacionārie tehniskie 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Policija, valsts akciju sabiedrība "Ceļu satiksmes drošības direkcija" un valsts vai pašvaldības ceļa pārvaldītājs, nodrošinot tehnisko līdzekļu darbību, iesniedz transportlīdzekļu un to vadītāju valsts reģistrā, izmantojot valsts akciju sabiedrības "Ceļu satiksmes drošības direkcija" nodrošināto risinājumu automatizētai informācijas apmaiņai tiešsaistes režīmā (WEB servisu), šādu informāciju par fiksēto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piedāvātajā 6.punktā vārdus "izmantojot valsts akciju sabiedrības "Ceļu satiksmes drošības direkcija" nodrošināto risinājumu automatizētai informācijas apmaiņai tiešsaistes režīmā (WEB servisu)", jo veidu, kādā informācija par fiksēto pārkāpumu iesniedzama transportlīdzekļu un to vadītāju valsts reģistrā, nosaka piedāvātais 7.punkta regulējums, kas cita starpā paredz arī, ka attiecīgā informācija var tikt nodota, izmantojot Iekšlietu ministrijas Informācijas centra nodrošināto koplietošanas tehnoloģisko platformu.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Policija, valsts akciju sabiedrība "Ceļu satiksmes drošības direkcija" un valsts vai pašvaldības ceļa pārvaldītājs, nodrošinot tehnisko līdzekļu darbību, iesniedz transportlīdzekļu un to vadītāju valsts reģistrā, izmantojot valsts akciju sabiedrības "Ceļu satiksmes drošības direkcija" nodrošināto risinājumu automatizētai informācijas apmaiņai tiešsaistes režīmā (WEB servisu), šādu informāciju par fiksēto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atbilstoši Ceļu satiksmes likuma 43.</w:t>
            </w:r>
            <w:r w:rsidR="00000000" w:rsidRPr="00000000" w:rsidDel="00000000">
              <w:rPr>
                <w:vertAlign w:val="superscript"/>
                <w:rtl w:val="0"/>
              </w:rPr>
              <w:t xml:space="preserve">7</w:t>
            </w:r>
            <w:r w:rsidR="00000000" w:rsidRPr="00000000" w:rsidDel="00000000">
              <w:rPr>
                <w:rtl w:val="0"/>
              </w:rPr>
              <w:t xml:space="preserve">panta pirmās daļas regulējumam gan Valsts policija, gan arī pašvaldības policija var noslēgt deleģēšanas līgumu ar dzelzceļa infrastruktūras pārvaldītāju, paredzot tam uzdevumu nodrošināt tehnisko līdzekļu uzstādīšanu attiecīgo pārkāpumu fiksēšanai, neapturot transportlīdzekli, un to darbības nodrošināšanu. Tādējādi, ja šāds deleģēšanas līgums tiktu noslēgts, tad uz to pilnībā būtu jāattiecina arī šajā tiesību aktā ietvertais regulējums par informācijas nodošanu transportlīdzekļu un to vadītāju valsts reģistram. Līdz ar to nepieciešams precizēt piedāvāto 6.punktu, papildinot tajā minēto institūciju uzskaitījumu ar jaunu subjektu - dzelzceļa infrastruktūras pārvaldītājs.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fiksētā pārkāpuma grupa atbilstoši Ceļu satiksmes likumam vai Autoceļu lietošanas nodevas likumam (piemēram, braukšanas ātruma neievērošana vai autoceļu lietošanas nodevas maksāšanas noteikumu neievērošana);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atbilstoši šā tiesību akta 2.punkta regulējumam, tehniskos līdzekļus uz Latvijas ceļiem uzstāda vietās, kur nepieciešams kontrolēt arī Autopārvadājumu likuma prasību pārkāpumus. Līdz ar to nepieciešams precizēt piedāvāto 6.1.apakšpunktu, papildinot to ar tiešu norādi uz Autopārvadājumu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pārkāpuma fiksēšanai izmantotās iekārtas tips, iekārtas sērijas numurs un iekārtas pieļaujamā kļūda (ja fiksēta braukšanas ātruma neievērošana);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šajā tiesību normā minētais nosacījums par pienākumu norādīt iekārtas pieļaujamo kļūdu būtu attiecināms ne vien uz tiem pārkāpumiem, kad tiek fiksēta braukšanas ātruma neievērošana, bet arī uz pārkāpumiem, kad, sverot transportlīdzekli gaitā (kustībā), tiks fiksēta transportlīdzekļa faktiskās masas vai tā ass slodzes pārsniegšana. Līdz ar to nepieciešams attiecīgi precizēt piedāvāto 6.9.apakšpunkta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6.10. ja fiksēta vidējā braukšanas ātruma neievērošana, papildus iesniedz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atbilstoši Ceļu satiksmes likuma 55.panta regulējumam persona saucama pie administratīvās atbildības par atļautā braukšanas ātruma neievērošanu, Proti, Ceļu satiksmes likumā nav paredzēta administratīvās atbildības iestāšanās </w:t>
            </w:r>
            <w:r w:rsidR="00000000" w:rsidRPr="00000000" w:rsidDel="00000000">
              <w:rPr>
                <w:u w:val="single"/>
                <w:rtl w:val="0"/>
              </w:rPr>
              <w:t xml:space="preserve">par vidējā braukšanas ātruma neievērošanu</w:t>
            </w:r>
            <w:r w:rsidR="00000000" w:rsidRPr="00000000" w:rsidDel="00000000">
              <w:rPr>
                <w:rtl w:val="0"/>
              </w:rPr>
              <w:t xml:space="preserve">. Atļauto braukšanas ātrumu konkrētos gadījumos vai attiecībā uz konkrētiem transportlīdzekļu veidiem nosaka ar ārējiem normatīvajiem aktiem (sk. Ceļu satiksmes noteikumu 9.nodaļā ietverto regulējumu), bet maksimālā braukšanas ātruma ierobežojumus konkrētos ceļu posmos pamatā nosaka ar attiecīgām ceļa zīmēm. Savukārt atbilstoši Ceļu satiksmes likuma 43.</w:t>
            </w:r>
            <w:r w:rsidR="00000000" w:rsidRPr="00000000" w:rsidDel="00000000">
              <w:rPr>
                <w:vertAlign w:val="superscript"/>
                <w:rtl w:val="0"/>
              </w:rPr>
              <w:t xml:space="preserve">4</w:t>
            </w:r>
            <w:r w:rsidR="00000000" w:rsidRPr="00000000" w:rsidDel="00000000">
              <w:rPr>
                <w:rtl w:val="0"/>
              </w:rPr>
              <w:t xml:space="preserve"> panta regulējumam noteiktā braukšanas ātruma ievērošanu kontrolē Valsts policija (kopš 2023.gada 6.jūlija arī pašvaldības policija) ar šim nolūkam paredzētiem tehniskiem līdzekļiem. Tādējādi piedāvātajā 6.10.apakšpunktā nav korekta vārdkopas "ja fiksēta vidējā braukšanas ātruma neievērošana"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izteikt 6.10.apakšpunktu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"6.10. ja braukšanas ātruma neievērošana fiksēta, izmantojot vidējā braukšanas ātruma kontroles sistēmu, papildus iesniedz šādu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ja fiksēta ass svara un transportlīdzekļa kopējā masas pārsniegums, papildus iesniedz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6.12.1. transportlīdzekļa katras ass 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6.12.2. transportlīdzekļa kopējā masa.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transportlīdzekļa svēršanas rezultātā tiek noskaidrota transportlīdzekļa faktiskā masa (jeb transportlīdzekļa kopējā faktiskā masa). Bet viens no transportlīdzekļa kopējo faktisko masu raksturojošiem parametriem ir ass slodzes mērījums. Līdz ar to nepieciešams attiecīgi precizēt piedāvāto 6.12.apakšpunkta regulējumu (tajā ietverto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Autopārvadājumu likuma 54.panta regulējums paredz administratīvo atbildību par transportlīdzekļa pilnās masas vai atļautās faktiskās masas pārsniegšanu, kā arī par transportlīdzekļa izgatavotāja noteiktās slodzes sadalījuma uz asīm pārsniegšanu. Līdz ar to nepieciešams izvērtēt, kāda tieši papildus informācija būtu iesniedzama šā tiesību akta 6.punktā minētajiem subjektiem attiecīgo administratīvo pārkāpumu identificēšanai, konkrēti norādot to piedāvātajā 6.12.apakšpunkta regulējumā (tajā ietvertajos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Ceļu satiksmes likuma</w:t>
            </w:r>
            <w:r w:rsidR="00000000" w:rsidRPr="00000000" w:rsidDel="00000000">
              <w:rPr>
                <w:rtl w:val="0"/>
              </w:rPr>
              <w:t xml:space="preserve"> </w:t>
            </w:r>
            <w:r w:rsidR="00000000" w:rsidRPr="00000000" w:rsidDel="00000000">
              <w:rPr>
                <w:rtl w:val="0"/>
              </w:rPr>
              <w:t xml:space="preserve">43.</w:t>
            </w:r>
            <w:r w:rsidR="00000000" w:rsidRPr="00000000" w:rsidDel="00000000">
              <w:rPr>
                <w:vertAlign w:val="superscript"/>
                <w:rtl w:val="0"/>
              </w:rPr>
              <w:t xml:space="preserve">7</w:t>
            </w:r>
            <w:r w:rsidR="00000000" w:rsidRPr="00000000" w:rsidDel="00000000">
              <w:rPr>
                <w:rtl w:val="0"/>
              </w:rPr>
              <w:t xml:space="preserve"> panta </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tiesību akta izdošanas pamatojumā skaitli "1</w:t>
            </w:r>
            <w:r w:rsidR="00000000" w:rsidRPr="00000000" w:rsidDel="00000000">
              <w:rPr>
                <w:vertAlign w:val="superscript"/>
                <w:rtl w:val="0"/>
              </w:rPr>
              <w:t xml:space="preserve">1</w:t>
            </w:r>
            <w:r w:rsidR="00000000" w:rsidRPr="00000000" w:rsidDel="00000000">
              <w:rPr>
                <w:rtl w:val="0"/>
              </w:rPr>
              <w:t xml:space="preserve">." ar skaitli "1.</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Ceļu satiksmes likuma 43</w:t>
            </w:r>
            <w:r w:rsidR="00000000" w:rsidRPr="00000000" w:rsidDel="00000000">
              <w:rPr>
                <w:vertAlign w:val="superscript"/>
                <w:rtl w:val="0"/>
              </w:rPr>
              <w:t xml:space="preserve">7</w:t>
            </w:r>
            <w:r w:rsidR="00000000" w:rsidRPr="00000000" w:rsidDel="00000000">
              <w:rPr>
                <w:rtl w:val="0"/>
              </w:rPr>
              <w:t xml:space="preserve">.panta 1</w:t>
            </w:r>
            <w:r w:rsidR="00000000" w:rsidRPr="00000000" w:rsidDel="00000000">
              <w:rPr>
                <w:vertAlign w:val="superscript"/>
                <w:rtl w:val="0"/>
              </w:rPr>
              <w:t xml:space="preserve">1</w:t>
            </w:r>
            <w:r w:rsidR="00000000" w:rsidRPr="00000000" w:rsidDel="00000000">
              <w:rPr>
                <w:rtl w:val="0"/>
              </w:rPr>
              <w:t xml:space="preserve">.daļā minētajos gadījumos ar tehniskajiem līdzekļiem fiksētā informācija paziņojama adresātam.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piedāvātajā 1.3.apakšpunktā skaitli "43</w:t>
            </w:r>
            <w:r w:rsidR="00000000" w:rsidRPr="00000000" w:rsidDel="00000000">
              <w:rPr>
                <w:vertAlign w:val="superscript"/>
                <w:rtl w:val="0"/>
              </w:rPr>
              <w:t xml:space="preserve">7</w:t>
            </w:r>
            <w:r w:rsidR="00000000" w:rsidRPr="00000000" w:rsidDel="00000000">
              <w:rPr>
                <w:rtl w:val="0"/>
              </w:rPr>
              <w:t xml:space="preserve">." ar skaitli "43.</w:t>
            </w:r>
            <w:r w:rsidR="00000000" w:rsidRPr="00000000" w:rsidDel="00000000">
              <w:rPr>
                <w:vertAlign w:val="superscript"/>
                <w:rtl w:val="0"/>
              </w:rPr>
              <w:t xml:space="preserve">7</w:t>
            </w:r>
            <w:r w:rsidR="00000000" w:rsidRPr="00000000" w:rsidDel="00000000">
              <w:rPr>
                <w:rtl w:val="0"/>
              </w:rPr>
              <w:t xml:space="preserve">" un skaitli "1</w:t>
            </w:r>
            <w:r w:rsidR="00000000" w:rsidRPr="00000000" w:rsidDel="00000000">
              <w:rPr>
                <w:vertAlign w:val="superscript"/>
                <w:rtl w:val="0"/>
              </w:rPr>
              <w:t xml:space="preserve">1</w:t>
            </w:r>
            <w:r w:rsidR="00000000" w:rsidRPr="00000000" w:rsidDel="00000000">
              <w:rPr>
                <w:rtl w:val="0"/>
              </w:rPr>
              <w:t xml:space="preserve">." ar skaitli "1.</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Tehniskajam līdzeklim - vidējā braukšanas ātruma kontroles sistēmai piemērojamas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1. kontroles vietas viduslīnija ir apzīmēta ar vizuāliem marķieriem uz ceļa brauktuves vai ceļa brauktuves 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2. brīdī,  kad mērķa transportlīdzeklis šķērso kontroles vietu, notiek mērķa transportlīdzekļa fotoattēla vai fotoattēlu secīga kopuma ģenerēšana un šķērsošanas brīža laika reģistrācija, kas ir aizsargāta ar laika zīmogu, kā arī reģistrācijas numurzīmes atpazīšana;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3. jānodrošina iekārtas laika sinhronizāciju ar vismaz 2 (diviem) neatkarīgiem precīza laika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4. lielākā  absolūtā  novirze  no  attāluma  starp  reģistrēšanas iekārtām  kontroles  vietās,  ko  kontroles  laikā  ņem  vērā vidējā braukšanas ātruma kontroles sistēma, nedrīkst pārsniegt 0,5 % no noteiktā ceļa posma garuma;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5. mērķa transportlīdzekļa vidējā braukšanas ātruma  noteikšanu diapazonā no vismaz 20 km/h  līdz ne mazāk kā 200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temperatūras diapazons no vismaz -25 °C līdz ne mazāk kā +50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6. ir  iespējams veikt kalibrēšanu;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7. maksimāli pieļaujamā kļūda (precizitāte) faktiskajos ekspluatācijas apstākļos, nepārsniedz šādas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7.1.  ±3 km/h,  ja mērķa transportlīdzekļa vidējais  braukšanas  ātrums  nepārsniedz 100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7.2. .±3 % no mērķa transportlīdzekļa vidējā braukšanas ātruma, ja mērķa transportlīdzekļa vidējais braukšanas ātrums pārsniedz 100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8. Noteikto vidējo braukšanas ātrumu uzrāda kilometros stundā ar iedaļas vērtību viens kilometrs stundā. Noteiktā vērtība tiek noapaļota uz leju līdz tuvākajam veselajam skaitlim. Kilometrus stundā norāda blakus skaitliskajai vērtībai.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5.</w:t>
            </w:r>
            <w:r w:rsidR="00000000" w:rsidRPr="00000000" w:rsidDel="00000000">
              <w:rPr>
                <w:vertAlign w:val="superscript"/>
                <w:rtl w:val="0"/>
              </w:rPr>
              <w:t xml:space="preserve">1</w:t>
            </w:r>
            <w:r w:rsidR="00000000" w:rsidRPr="00000000" w:rsidDel="00000000">
              <w:rPr>
                <w:rtl w:val="0"/>
              </w:rPr>
              <w:t xml:space="preserve"> punktā ietverto apakšpunktu numerāciju, veidojot vārdkopu "ekspluatācijas temperatūras diapazons no vismaz -25 °C līdz ne mazāk kā +50 °C;" kā atsevišķu projekta 5.</w:t>
            </w:r>
            <w:r w:rsidR="00000000" w:rsidRPr="00000000" w:rsidDel="00000000">
              <w:rPr>
                <w:vertAlign w:val="superscript"/>
                <w:rtl w:val="0"/>
              </w:rPr>
              <w:t xml:space="preserve">1</w:t>
            </w:r>
            <w:r w:rsidR="00000000" w:rsidRPr="00000000" w:rsidDel="00000000">
              <w:rPr>
                <w:rtl w:val="0"/>
              </w:rPr>
              <w:t xml:space="preserve"> punkta vienību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līdzekļa dati un uzglabājamie vai pārraidāmie būtiskie parametri ir atbilstoši aizsargāti pret  nejaušu vai  apzinātu iejaukšanos un nodrošina datu  integritāti saskaņā ar normatīvajiem aktiem par informācijas un komunikācijas tehnoloģiju sistēmas atbilstību minimālajām 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5.</w:t>
            </w:r>
            <w:r w:rsidR="00000000" w:rsidRPr="00000000" w:rsidDel="00000000">
              <w:rPr>
                <w:vertAlign w:val="superscript"/>
                <w:rtl w:val="0"/>
              </w:rPr>
              <w:t xml:space="preserve">4</w:t>
            </w:r>
            <w:r w:rsidR="00000000" w:rsidRPr="00000000" w:rsidDel="00000000">
              <w:rPr>
                <w:rtl w:val="0"/>
              </w:rPr>
              <w:t xml:space="preserve"> punktu, papildinot to pirms vārda "līdzekļa" ar vārdu "Tehniskā".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iespējamu pārkāpuma — tāda transportlīdzekļa izmantošana ceļu satiksmē, kuram noteiktajā termiņā nav veikta valsts tehniskā apskate vai par kuru nav veikta tā īpašnieka civiltiesiskās atbildības obligātā apdrošināšana, — kas fiksēts ar tehniskajiem līdzekļiem, izdarīšanu transportlīdzekļu un to vadītāju valsts reģistrā automātiskā datu apstrādes režīmā tiek sagatavots informatīvais paziņojums par fiksēto gadījumu (turpmāk – paziņojums).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piedāvāto 8.punktu, papildinot to pēc vārdiem "kas fiksēts ar tehniskajiem līdzekļiem" ar vārdiem "neapturot transportlīdzekli".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25-TA-2052</w:t>
    </w:r>
    <w:r>
      <w:br/>
    </w:r>
    <w:r w:rsidR="00000000" w:rsidRPr="00000000" w:rsidDel="00000000">
      <w:rPr>
        <w:rtl w:val="0"/>
      </w:rPr>
      <w:t xml:space="preserve">Izdrukāts 24.09.2025. 18.22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25-TA-2052</w:t>
    </w:r>
    <w:r>
      <w:br/>
    </w:r>
    <w:r w:rsidR="00000000" w:rsidRPr="00000000" w:rsidDel="00000000">
      <w:rPr>
        <w:rtl w:val="0"/>
      </w:rPr>
      <w:t xml:space="preserve">Izdrukāts 24.09.2025. 18.22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Atzinumi_25-TA-2052.docx</dc:title>
</cp:coreProperties>
</file>

<file path=docProps/custom.xml><?xml version="1.0" encoding="utf-8"?>
<Properties xmlns="http://schemas.openxmlformats.org/officeDocument/2006/custom-properties" xmlns:vt="http://schemas.openxmlformats.org/officeDocument/2006/docPropsVTypes"/>
</file>