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Iekšlietu ministrijas Informācijas centra Integrētās iekšlietu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norādītais Valsts ieņēmumu dienestam (Integrētajai riska informācijas sistēmai) nododamais datu apjoms atšķiras no tā, par kuru Valsts ieņēmumu dienests un Iekšlietu ministrijas Informācijas centrs ir vienojušies (turpmāk –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Informācijas centra pusē ir uzsākts darba pie datu nodošanas risinājuma izstrādes, aicinām Valsts ieņēmumu dienestu pārskatīt projektā un Vienošanās norādīto no Iekšlietu ministrijas Informācijas centra pārziņā esošajām valsts informācijas sistēmām nepieciešamo datu apjomu. Gadījumā, ja korektais nepieciešamais datu apjoms ir norādīts projektā, organizēt sanāksmi ar Iekšlietu ministrijas Informācijas centra pārstāvjiem, lai pārrunātu būtiskos jautājumus par Vienošanās precizēšanu, nepieciešamo finansējumu risinājuma pielāgošanai, risinājumu pielāgošanu un attiecīgo termiņu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pazīme, vai ir reģistrēts ierocis.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"pazīme" ar vārdu "piezīme" vai "atzīme".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Vegneris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Sistēmā iekļauj un apstrādā šādu informāciju par juridisko personu (ciktāl informācija ir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Šengenas informācijas sistēmas darbības likuma 7. panta otrā daļa noteic, ka ziņojumu iekļaušana Šengenas informācijas sistēmā ir pieļaujama, ja kādā valsts informācijas sistēmā ir iekļauts ieraksts par to pašu personu vai priekšmetu šā likuma 7. pantā noteiktajam mērķim identiska mērķa sasniegšanai, proti, ja sistēmā tiks iekļauta projekta 3. punktā noteiktā informācija un tā neatbildīs (nebūs identiska) Šenegenas informācijas sistēmā noteiktajiem datu laukiem, tad Nodokļu un muitas policija nevarēs izplatīt un saņemt savu funkciju veikšanai nepieciešamo informāciju (Šengenas informācijas sistēmas darbības likuma 3.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Brūvere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Auditācijas pierakstus var nodot kompetentajām iestādēm (pirmstiesas izmeklēšanas iestādēm, operatīvās darbības subjektiem, valsts drošības iestādēm) pieprasījumā norādītajā apjomā, lai nodrošinātu noziedzīgu nodarījumu izmeklēšanu, kā arī disciplinārlietas vai administratīvā pārkāpuma lietas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27.punktā cita starpā ir noteikts, ka sistēmas auditācijas pierakstus var nodot kompetentajām iestādēm (pirmstiesas izmeklēšanas iestādēm, operatīvās darbības subjektiem, valsts drošības iestādēm). Vēršam uzmanību, ka, piemēram, valsts drošības iestāžu tiesības pieprasīt informāciju neatkarīgi no to izmantošanas lieguma jau ir noteiktas Valsts drošības iestāžu likuma 19.panta pirmajā daļā, kas ir uzskatāms par speciālo regulējumu. Tas nozīmē, ka attiecīgo jomu vispārējā regulējumā nav jāiekļauj valsts drošības iestādes tiesības saņemt noteikta veida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vai projekta 27.punktā ietvertais regulējums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27.06.2025.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27.06.2025.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Atzinumi_25-TA-709.docx</dc:title>
</cp:coreProperties>
</file>

<file path=docProps/custom.xml><?xml version="1.0" encoding="utf-8"?>
<Properties xmlns="http://schemas.openxmlformats.org/officeDocument/2006/custom-properties" xmlns:vt="http://schemas.openxmlformats.org/officeDocument/2006/docPropsVTypes"/>
</file>