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Nacionālās kiberdrošības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datus kiberincidentu novēršanas institūcija drīkst nodot šā likuma </w:t>
            </w:r>
            <w:r w:rsidR="00000000" w:rsidRPr="00000000" w:rsidDel="00000000">
              <w:rPr>
                <w:rtl w:val="0"/>
              </w:rPr>
              <w:t xml:space="preserve">10. </w:t>
            </w:r>
            <w:r w:rsidR="00000000" w:rsidRPr="00000000" w:rsidDel="00000000">
              <w:rPr>
                <w:rtl w:val="0"/>
              </w:rPr>
              <w:t xml:space="preserve">panta</w:t>
            </w:r>
            <w:r w:rsidR="00000000" w:rsidRPr="00000000" w:rsidDel="00000000">
              <w:rPr>
                <w:rtl w:val="0"/>
              </w:rPr>
              <w:t xml:space="preserve"> pirmās daļas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6</w:t>
            </w:r>
            <w:r w:rsidR="00000000" w:rsidRPr="00000000" w:rsidDel="00000000">
              <w:rPr>
                <w:rtl w:val="0"/>
              </w:rPr>
              <w:t xml:space="preserve">. punktā minētajām institūcijām, lai atpazītu un novērstu tādu kiberapdraudējumu, ievainojamību vai kiberincidentu, kas var radīt vai rada draudus nacionālajai drošībai.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46.panta trešā daļa noteic, ka personas datus kiberincidentu novēršanas institūcija drīkst nodot šā likuma 10. panta pirmās daļas 5. un 6. punktā minētajām institūcijām, lai atpazītu un novērstu tādu kiberapdraudējumu, ievainojamību vai kiberincidentu, kas var radīt vai rada draudus nacionālajai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10.panta 5. un 6. punkts noteic kiberincidentu novēršanas institūcijas uzdevumus, nevis kiberincidentu novēršanas institūcijas. Līdz ar to izsakām priekšlikumu likumprojekta 46.panta trešajā daļā atsaukties uz likuma 9.panta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Voitiņa (IeM 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Pārejas noteikumu 12. un 13. punktu, ņemot vērā, ka likums stāsies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sniegta atsauce uz likumprojekta 47.panta pirmo daļu ("Likumprojekta 47. panta pirmajā daļā noteikts, ka  kiberincidentu novēršanas institūcija, pildot šajā likumā noteiktos uzdevumus un īstenojot savas tiesības, saņem un apstrādā personu identificējošu informāciju, lai pamatotu vai izslēgtu aizdomas par kiberapdraudējumu vai to novērstu, kā arī nodrošinātu saziņu ar iesaistītām personām."). Vēršam uzmanību, ka šeit veicams precizējums, jo likumprojektā nav 47.panta.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Alekse (IeM IC)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22-TA-3012</w:t>
    </w:r>
    <w:r>
      <w:br/>
    </w:r>
    <w:r w:rsidR="00000000" w:rsidRPr="00000000" w:rsidDel="00000000">
      <w:rPr>
        <w:rtl w:val="0"/>
      </w:rPr>
      <w:t xml:space="preserve">Izdrukāts 29.11.2023.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22-TA-3012</w:t>
    </w:r>
    <w:r>
      <w:br/>
    </w:r>
    <w:r w:rsidR="00000000" w:rsidRPr="00000000" w:rsidDel="00000000">
      <w:rPr>
        <w:rtl w:val="0"/>
      </w:rPr>
      <w:t xml:space="preserve">Izdrukāts 29.11.2023.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Atzinumi_22-TA-3012.docx</dc:title>
</cp:coreProperties>
</file>

<file path=docProps/custom.xml><?xml version="1.0" encoding="utf-8"?>
<Properties xmlns="http://schemas.openxmlformats.org/officeDocument/2006/custom-properties" xmlns:vt="http://schemas.openxmlformats.org/officeDocument/2006/docPropsVTypes"/>
</file>