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valsts akciju sabiedrībai “Ceļu satiksmes un drošības direkcija” – transportlīdzekļa ekspluatācijas nodokļa atvieglojumu piemērošanai  programmas  mērķgrupām;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informācijas nodošanas nepieciešamību valsts akciju sabiedrībai "Ceļu satiksmes un drošības direkcija" (turpmāk- CSDD) un anotācijā norādīt tiesisko pamatu, kas paredz CSDD tiesības saņemt informāciju no Sabiedrības integrācijas fonda. Vēršam uzmanību, ka atbilstoši Ministru kabineta 2012.gada 11.decembra noteikumu Nr.858 “Transportlīdzekļa ekspluatācijas nodokļa un uzņēmumu vieglo transportlīdzekļu nodokļa maksāšanas kārtība” 46.punktam ekspluatācijas nodokļa atvieglojumu persona var saņemt uzrādot derīgu Sabiedrības integrācijas fonda izsniegtu Latvijas Goda ģimenes apliecību "3+ Ģimenes karte", līdz ar to nav saprotama nepieciešamība CSDD saņemt datus papildus arī no informācijas sistēmas, turklāt no anotācijā norādītajiem spēkā esošajiem tiesību aktiem netiek rasts pamatojums, proti, CSDD tiesības minētās informācijas saņemšanai no informācijas sistēmas.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Būvniecības valsts kontroles birojam – maksājuma samazināšanai rēķina summai par elektroenerģiju, sistēmas pakalpojumiem programmas  mērķgrupām;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informācijas nodošanas nepieciešamību Būvniecības valsts kontroles birojam (turpmāk - Birojs) un norādīt anotacijā tiesisko pamatu, kas paredz Biroja tiesības saņemt informāciju no Sabiedrības integrācijas fonda. Vēršam uzmanību, ka atbilstoši Ministru kabineta 2021.gada 1.jūnija noteikumu Nr.345 “Aizsargātā lietotāja tirdzniecības pakalpojuma noteikumi” 19.</w:t>
            </w:r>
            <w:r w:rsidR="00000000" w:rsidRPr="00000000" w:rsidDel="00000000">
              <w:rPr>
                <w:vertAlign w:val="superscript"/>
                <w:rtl w:val="0"/>
              </w:rPr>
              <w:t xml:space="preserve">1</w:t>
            </w:r>
            <w:r w:rsidR="00000000" w:rsidRPr="00000000" w:rsidDel="00000000">
              <w:rPr>
                <w:rtl w:val="0"/>
              </w:rPr>
              <w:t xml:space="preserve">punktam un 30.</w:t>
            </w:r>
            <w:r w:rsidR="00000000" w:rsidRPr="00000000" w:rsidDel="00000000">
              <w:rPr>
                <w:vertAlign w:val="superscript"/>
                <w:rtl w:val="0"/>
              </w:rPr>
              <w:t xml:space="preserve">1</w:t>
            </w:r>
            <w:r w:rsidR="00000000" w:rsidRPr="00000000" w:rsidDel="00000000">
              <w:rPr>
                <w:rtl w:val="0"/>
              </w:rPr>
              <w:t xml:space="preserve">punktam, aizsargātais lietotājs birojā iesniedz iesniegumu un Latvijas Goda ģimenes apliecības kopiju, savukārt Birojs iesniegtos datus pieņem par patiesiem un neverificē citos datu reģistros, līdz ar to norādāms uz šā projekta plānotā regulējuma un minēto Ministru kabineta noteikumu savstarpēju neatbilstību, attiecībā uz Biroja nolūkiem saņemt datus no informācijas sistēmas. Turklāt, no anotācijā norādītajiem spēkā esošajiem tiesību aktiem neizriet Biroja tiesības pieprasīt informāciju no Sabiedrības integrācijas fonda.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rajona (pilsētas) tiesai – samazinātas valsts nodevas apmēra piemērošanai īpašuma tiesību un ķīlas tiesību nostiprināšanai zemesgrāmatā programmas mērķgrupām;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tiesisko pamatu-  spēkā esošu ārējo normatīvo aktu (-us) un tā normu (-as), no kā ir izsecināma nepieciešamība rajona (pilsētas) tiesai saņemt personu datus projektā paredzētajā veidā un apjomā. Vēršam uzmanību, ka no šobrīd anotācijā norādītajiem tiesību aktiem neizriet rajona (pilsētas) tiesas tiesības saņemt informāciju no Sabiedrības integrācijas fonda, lai piemērotu noteiktu valsts nodevas likmi.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valsts un pašvaldību institūcijām vai institūcijām, kam deleģētas valsts vai pašvaldību iestāžu funkcijas – šo institūciju funkciju izpildei normatīvajos aktos noteiktajā apjomā;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kopumā, norādot, kādu funkciju izpildei un kādus datus nepieciešamas saņemt no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Eiropas Parlamenta un Padomes 2016. gada 27. aprīļa Regulas (ES) 2016/679 Par fizisku personu datu aizsardzību attiecībā uz personas datu apstrādi un šādu datu brīvu apriti un ar ko atceļ Direktīvu 95/46/EK (Vispārīgā datu aizsardzības regula)  6. panta 3. punkta “b” apakšpunktā noteikts, ka šā panta 1. punkta “c” un “e” apakšpunktā minēto apstrādes pamatu un nolūku nosaka ar dalībvalsts tiesību aktiem, kas piemērojami pārzinim. Turklāt tiesību aktā ietvertās funkcijas nedrīkst būt tik vispārīgas, ka neļauj izdarīt pašsaprotamu pieņēmumu, ka šādu funkciju izpildei ir nepieciešama personas datu apstrāde, un atbilstoša informācija nav ietverta arī projekta anotācijā. Proti, formāla atsaukšanās uz tiesību aktā noteiktu publiskas iestādes funkciju nebūtu pieļaujama. Norādām, ka ne projektā, ne citos ar projektu saistītajos tiesību aktos, nav atrodamas konkrētas funkcijas, kura veikšanai personas datu apstrāde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31.10.2023.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31.10.2023.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