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kosmētikas līdzekļu laišanu tirgū, piedāvāšanu vai pārdošanu, ja nav norādīts vai ir beidzies tā derīguma termiņš, piemēro naudas sodu fiziskajai personai no septiņām līdz septiņdesmit naudas soda vienībām, bet juridiskajai personai — no desmit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Aicinājām izvērtēt administratīvā soda lieluma pamatojumu. Neesam saņēmuši ne izvērtējumu, ne pamatojumu soda būtiskam pieaugumam.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Henriks Danusēvičs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06.05.2025.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06.05.2025.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Atzinumi_24-TA-1754.docx</dc:title>
</cp:coreProperties>
</file>

<file path=docProps/custom.xml><?xml version="1.0" encoding="utf-8"?>
<Properties xmlns="http://schemas.openxmlformats.org/officeDocument/2006/custom-properties" xmlns:vt="http://schemas.openxmlformats.org/officeDocument/2006/docPropsVTypes"/>
</file>