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paredz 20 pasākumus, no kuriem 10 pasākumu ieviešanas termiņu nosaka ES regula. Sakarā ar pasākumu lielo kopējo skaitu projektu plānots dalīt 2 posmos, 1.posmā paredzot ES prasību izpildi, bet 2. posmā paredzēts īstenot pārējos pasākumus, kuri ir būtiski jūrniecības nozares digitalizācijas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plāna projekta 3.nodaļas 4.9.3. - 1.2.pasākuma </w:t>
            </w:r>
            <w:r w:rsidR="00000000" w:rsidRPr="00000000" w:rsidDel="00000000">
              <w:rPr>
                <w:i w:val="1"/>
                <w:rtl w:val="0"/>
              </w:rPr>
              <w:t xml:space="preserve">“Starptautiskā kravu loģistikas un ostu informācijas sistēma (SKLOIS) ir integrēta un darbojas vienotā Eiropas Jūras vienloga sistēma vidē EMSWe” </w:t>
            </w:r>
            <w:r w:rsidR="00000000" w:rsidRPr="00000000" w:rsidDel="00000000">
              <w:rPr>
                <w:rtl w:val="0"/>
              </w:rPr>
              <w:t xml:space="preserve">5. un 6.kolonnu, norādot plāna projekta 5.kolonnā šādus izpildes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31.12.2027.;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plāna projekta 6.kolonnā kā atbildīgo institūciju norādīt Satiksmes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Augstmane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teritorijas plānošanas normatīvajiem aktiem, pašvaldībām nav obligāts pienākums teritorijas plānojumus skaņot ar Satiksmes ministriju, lūdzam plāna projekta 3.1.2.-1.1. pasākumu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pieprasījumam SM sniedz nosacījumus pašvaldību teritorijas plānojumu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Bārs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tabulas D kolonnā "Budžeta programmas (apakšprogrammas) kods un nosaukums" 83. un 408.rindā ietverto informāciju "Finansējuma avots pašlaik nav iezīmēts" papildināt ar informāciju atbilstoši VARAM 2022.gada 7.decembra vēstules Nr.11-2/8319 "Par finansējumu SKLOIS attīstībai saistībā ar Regulas (ES) 2019/1239 ieviešanu" 1. un 2.punktā minētajam.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Augstmane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iebilst būt atbildīgā institūcija par Digitālās transformācijas pamatnostādņu 2021.–2027. gadam ieviešanas plāna 2.1. - 3.3.pasākumu, kurā paredzēts sadarbībā ar citām ES dalībvalstīm izveidot “Datu vēstniecības risinājums” pašu nozīmīgāko valsts pārvaldes IKT risinājumu darbības nodrošināšanai ārpus Latvijas, jo nav skaidri norādīts finansējuma avots, bet tikai ietverta vispārēja atsauce uz 4.10.3. - 1.1. “Valsts pārvaldes “federētā mākoņa” koplietošanas pakalpojumu attīstība.”. Vēršam uzmanību, ka pašreizējā Atveseļošanas un noturības mehānisma SM pārziņā esošajā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plānota šāda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noteikts, kas būs projekta īstenotājs;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aprakstītas un skaidras pasākumā plānotās aktivitātes, īpaši ņemot vērā, ka tās nav bijušas iekļautas arī Digitālās transformācijas pamatnostādnēs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sociālās vienlīdzības principus piekļuvei finansiāli ietilpīgiem mācību procesiem, lūdzam izvērtēt iespēju pasākumu plāna 1.punktā ietvert aktivitāti par valsts pasūtījuma veidošanu tehnoloģiski ietilpīgu kvalifikāciju iegūšanai (proti, gaisa kuģu piloti, gaisa satiksmes vadības dispečeri, gaisa kuģu tehniskās ekspluatācijas tehniķi).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Ķauķīte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