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29. un 33. punktā ietverto grozījumu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5.4. sadaļas 1. tabulā izsmeļoši norādīt uz Eiropas Komisijas 2023. gada 13. decembra Regulas Nr. 2023/2831 par Līguma par Eiropas Savienības darbību 107. un 108. panta piemērošanu de minimis atbalstam vienībām (prasībām), kuras tiek ieviestas ar noteikumu projektu. Norādām, ka minētās prasības ir ieviestas arī noteikumu projekta 3., 39., 41., 42., 46., 47., 52. un 55. punktā, par ko 1. tabulā nav sniegta informācija. Kā arī lūdzam tehniski precizēt un 5.4. sadaļas 1. tabulas B ailē norādīt arī uz noteikumu projekta vienībām, nevis vienīgi uz noteikumu Nr. 529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komercdarbības atbalsta nosacījumiem atbilstoši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un 5. nodaļā minētajiem </w:t>
            </w:r>
            <w:r w:rsidR="00000000" w:rsidRPr="00000000" w:rsidDel="00000000">
              <w:rPr>
                <w:i w:val="1"/>
                <w:rtl w:val="0"/>
              </w:rPr>
              <w:t xml:space="preserve">de minimis </w:t>
            </w:r>
            <w:r w:rsidR="00000000" w:rsidRPr="00000000" w:rsidDel="00000000">
              <w:rPr>
                <w:rtl w:val="0"/>
              </w:rPr>
              <w:t xml:space="preserve">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Kā arī lūdzam pārskatīt noteikumu projektu (noteikumus Nr. 529) un nodrošināt konsekventas atsauces uz šo noteikumu 25. punktu, jo atsevišķos gadījumos noteikumu projektā tiek norādīts uz 25. punktā ietvertajiem komercdarbības atbalsta nosacījumiem, bet noteikumu projekta 13. punktā atsauce ietverta uz 25. punktā noteiktajiem kritērijiem līdztekus atsaucei uz šo noteikumu 5. nodaļā minētajiem komercdarbības atbalsta nosacījumiem. Norādām, ka šobrīd no noteikumu projekta nav viennozīmīgi skaidrs, vai 25. punktā ietvertie izslēgšanas kritēriji arī ir uzskatāmi par komercdarbības atbalsta nosacījumiem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šo noteikumu 25. punktā minētajiem izslēgšanas kritērijiem un 5. nodaļā minētajiem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w:t>
            </w:r>
            <w:r w:rsidR="00000000" w:rsidRPr="00000000" w:rsidDel="00000000">
              <w:rPr>
                <w:rtl w:val="0"/>
              </w:rPr>
              <w:t xml:space="preserve">20.4. </w:t>
            </w:r>
            <w:r w:rsidR="00000000" w:rsidRPr="00000000" w:rsidDel="00000000">
              <w:rPr>
                <w:rtl w:val="0"/>
              </w:rPr>
              <w:t xml:space="preserve"> apakšpunktā</w:t>
            </w:r>
            <w:r w:rsidR="00000000" w:rsidRPr="00000000" w:rsidDel="00000000">
              <w:rPr>
                <w:rtl w:val="0"/>
              </w:rPr>
              <w:t xml:space="preserve"> minētā rādītāja pamatošanai. Otrās atlases kārtas uzsaukuma ietvaros attiecas tikai uz biedrību kā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20.4. apakšpunktā minētā rādītāja pamatošanai. Otrās atlases kārtas uzsaukuma ietvaros šis nosacījums attiecas tikai uz biedrību kā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attiecībā uz finansējuma saņēmēju, otrās atlases kārtas izmaksas,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vienveidīgu izteiksmi un izvairoties no atkārtotas norādes uz otro atlases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attiecībā uz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44.1.2. projekta vadības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Nr. 529 44.1.2. apakšpunkta ievaddaļu, jo projekta vadības izmaksas neveido cita starpā projekta īstenošanas personāla izmaksas, bet projekta īstenošanas personāla izmaksas veido atsevišķu izmaksu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otrās atlases kārtas ietvaros projekta iesniedzējs ir augstākās izglītības iestāde, kas darbojas atbilstoši Izglītības likumam un Zinātniskās darbības likumam, tad komercdarbības atbalsta regulējums finansējuma saņēmēja izmaksām, kas minētas šo noteikumu </w:t>
            </w:r>
            <w:r w:rsidR="00000000" w:rsidRPr="00000000" w:rsidDel="00000000">
              <w:rPr>
                <w:rtl w:val="0"/>
              </w:rPr>
              <w:t xml:space="preserve">44.1. </w:t>
            </w:r>
            <w:r w:rsidR="00000000" w:rsidRPr="00000000" w:rsidDel="00000000">
              <w:rPr>
                <w:rtl w:val="0"/>
              </w:rPr>
              <w:t xml:space="preserve">apakšpunktā</w:t>
            </w:r>
            <w:r w:rsidR="00000000" w:rsidRPr="00000000" w:rsidDel="00000000">
              <w:rPr>
                <w:rtl w:val="0"/>
              </w:rPr>
              <w:t xml:space="preserve"> ,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29. punktā konkretizēt, kas ir domāts ar komercdarbības atbalsta regulējumu, atsaucoties uz konkrētām šo noteikumu vienībām, kas paredz komercdarbības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Pirms iesnieguma iesniegšanas gala labuma guvējs vienojas ar finansējuma saņēmēju par komercdarbības atbalsta sniegšanas veidu atbilstoši Komisijas regulas Nr. </w:t>
            </w:r>
            <w:r w:rsidR="00000000" w:rsidRPr="00000000" w:rsidDel="00000000">
              <w:rPr>
                <w:rtl w:val="0"/>
              </w:rPr>
              <w:t xml:space="preserve">651/2014</w:t>
            </w:r>
            <w:r w:rsidR="00000000" w:rsidRPr="00000000" w:rsidDel="00000000">
              <w:rPr>
                <w:rtl w:val="0"/>
              </w:rPr>
              <w:t xml:space="preserve"> vai Komisijas regulas Nr. </w:t>
            </w:r>
            <w:r w:rsidR="00000000" w:rsidRPr="00000000" w:rsidDel="00000000">
              <w:rPr>
                <w:rtl w:val="0"/>
              </w:rPr>
              <w:t xml:space="preserve">​</w:t>
            </w:r>
            <w:r w:rsidR="00000000" w:rsidRPr="00000000" w:rsidDel="00000000">
              <w:rPr>
                <w:rtl w:val="0"/>
              </w:rPr>
              <w:t xml:space="preserve">2023/2831 nosacījumiem. Ja gala labuma guvējs pretendē uz komercdarbības atbalstu saskaņā ar Komisijas regulu Nr. </w:t>
            </w:r>
            <w:r w:rsidR="00000000" w:rsidRPr="00000000" w:rsidDel="00000000">
              <w:rPr>
                <w:rtl w:val="0"/>
              </w:rPr>
              <w:t xml:space="preserve">​</w:t>
            </w:r>
            <w:r w:rsidR="00000000" w:rsidRPr="00000000" w:rsidDel="00000000">
              <w:rPr>
                <w:rtl w:val="0"/>
              </w:rPr>
              <w:t xml:space="preserve">2023/2831, tad gala labuma guvējam jāsagatavo un finansējuma saņēmējam </w:t>
            </w:r>
            <w:r w:rsidR="00000000" w:rsidRPr="00000000" w:rsidDel="00000000">
              <w:rPr>
                <w:i w:val="1"/>
                <w:rtl w:val="0"/>
              </w:rPr>
              <w:t xml:space="preserve">de minimis</w:t>
            </w:r>
            <w:r w:rsidR="00000000" w:rsidRPr="00000000" w:rsidDel="00000000">
              <w:rPr>
                <w:rtl w:val="0"/>
              </w:rPr>
              <w:t xml:space="preserve"> atbalsta uzskaites sistēmā jāiesniedz aizpildīta veidlapa vai jānorāda sistēmā izveidotās un apstiprinātās pretendenta veidlapas identifikācijas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vienkāršojot kārtību, kādā tiek noteikts komercdarbības atbalsta sniegšanas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Gala labuma guvējs iesniegumā finansējuma saņēmējam norāda, vai gala labuma guvējs pretendē uz komercdarbības atbalstu atbilstoši Komisijas regulas Nr. 651/2014 vai Komisijas regulas Nr. ​2023/2831 nosacījumiem. Ja gala labuma guvējs pretendē uz komercdarbības atbalstu saskaņā ar Komisijas regulu Nr. ​2023/2831, tad gala labuma guvējam jāsagatavo un finansējuma saņēmējam de minimis atbalsta uzskaites sistēmā jāiesniedz aizpildīta veidlapa vai jānorāda sistēmā izveidotās un apstiprinātās pretendenta veidlapas identifikācijas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132. punktam lūdzam noteikumu projekta 56. punktā norādi uz "MK noteikumiem" aizstāt ar atsauci uz "šiem noteikumiem" atbilstošā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10.05.2024.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10.05.2024.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